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73FB1" w14:textId="77777777" w:rsidR="00FA1E0E" w:rsidRDefault="00FA1E0E" w:rsidP="00FA1E0E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HU</w:t>
      </w:r>
    </w:p>
    <w:p w14:paraId="2A534E61" w14:textId="77777777" w:rsidR="00FA1E0E" w:rsidRDefault="00FA1E0E" w:rsidP="00FA1E0E">
      <w:pPr>
        <w:rPr>
          <w:rFonts w:asciiTheme="minorHAnsi" w:hAnsiTheme="minorHAnsi"/>
          <w:sz w:val="22"/>
        </w:rPr>
      </w:pPr>
    </w:p>
    <w:p w14:paraId="4613AAF8" w14:textId="77777777" w:rsidR="00C61CB8" w:rsidRPr="00037E7B" w:rsidRDefault="00C61CB8" w:rsidP="00C61CB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7B92C63B" w14:textId="77777777" w:rsidR="00C61CB8" w:rsidRPr="00037E7B" w:rsidRDefault="00C61CB8" w:rsidP="00C61CB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48CBB2FB" w14:textId="77777777" w:rsidR="00C61CB8" w:rsidRPr="00037E7B" w:rsidRDefault="00C61CB8" w:rsidP="00C61CB8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499E103D" w14:textId="77777777" w:rsidR="00C61CB8" w:rsidRDefault="00C61CB8" w:rsidP="00C61CB8"/>
    <w:p w14:paraId="4FE1D1D2" w14:textId="77777777" w:rsidR="00C61CB8" w:rsidRDefault="00C61CB8" w:rsidP="00C61CB8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II. RÉSZ: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TÁBLASPECIFIKUS ÚTMUTATÓ</w:t>
      </w:r>
    </w:p>
    <w:p w14:paraId="253B4114" w14:textId="77777777" w:rsidR="00C61CB8" w:rsidRDefault="00C61CB8" w:rsidP="00C61CB8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D3C634C" w14:textId="77777777" w:rsidR="00C61CB8" w:rsidRPr="00736637" w:rsidRDefault="00C61CB8" w:rsidP="00C61CB8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693FB12" w14:textId="77777777" w:rsidR="00C61CB8" w:rsidRDefault="00C61CB8"/>
    <w:p w14:paraId="696BE2FA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CSOPORTSZINTŰ SZAVATOLÓTŐKE-MEGFELELÉS: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INFORMÁCIÓK A CSOPORTBA TARTOZÓ SZERVEZETEKRŐL (GS)</w:t>
      </w:r>
    </w:p>
    <w:p w14:paraId="6AEF8BDA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264038416"/>
      <w:bookmarkStart w:id="1" w:name="_Toc295829845"/>
      <w:bookmarkStart w:id="2" w:name="_Toc310415011"/>
      <w:bookmarkStart w:id="3" w:name="_Toc330394186"/>
      <w:bookmarkStart w:id="4" w:name="_Toc360188340"/>
      <w:bookmarkStart w:id="5" w:name="_Toc473560888"/>
      <w:bookmarkStart w:id="6" w:name="_Toc151714376"/>
      <w:r>
        <w:rPr>
          <w:sz w:val="24"/>
          <w:u w:val="none"/>
          <w:rFonts w:ascii="Times New Roman" w:hAnsi="Times New Roman"/>
        </w:rPr>
        <w:t xml:space="preserve">2.1.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Általános megjegyzések</w:t>
      </w:r>
      <w:bookmarkEnd w:id="0"/>
      <w:bookmarkEnd w:id="1"/>
      <w:bookmarkEnd w:id="2"/>
      <w:bookmarkEnd w:id="3"/>
      <w:bookmarkEnd w:id="4"/>
      <w:bookmarkEnd w:id="5"/>
      <w:bookmarkEnd w:id="6"/>
    </w:p>
    <w:p w14:paraId="02D50DC7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27</w:t>
      </w:r>
      <w:r>
        <w:fldChar w:fldCharType="end"/>
      </w:r>
      <w:r>
        <w:t xml:space="preserve">.</w:t>
      </w:r>
      <w:r>
        <w:tab/>
      </w:r>
      <w:r>
        <w:t xml:space="preserve">A C 06.01-es és C 06.02-es táblán a szavatolótőke-követelmények konszolidált alapon történő számítása esetén kell adatot szolgáltatni.</w:t>
      </w:r>
      <w:r>
        <w:t xml:space="preserve"> </w:t>
      </w:r>
      <w:r>
        <w:t xml:space="preserve">A C 06.02 tábla négy részből áll, amelyek célja különböző információk gyűjtése a konszolidációs körbe bevont valamennyi szervezetről, ezen belül az adatot szolgáltató intézményről:</w:t>
      </w:r>
    </w:p>
    <w:p w14:paraId="427E4E34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 xml:space="preserve">a)</w:t>
      </w:r>
      <w:r>
        <w:tab/>
      </w:r>
      <w:r>
        <w:t xml:space="preserve">a konszolidáció körébe bevont szervezetek;</w:t>
      </w:r>
    </w:p>
    <w:p w14:paraId="028B029B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 xml:space="preserve">b)</w:t>
      </w:r>
      <w:r>
        <w:tab/>
      </w:r>
      <w:r>
        <w:t xml:space="preserve">részletes információk a csoportszintű szavatolótőke-megfelelésről;</w:t>
      </w:r>
    </w:p>
    <w:p w14:paraId="29EF9308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 xml:space="preserve">c)</w:t>
      </w:r>
      <w:r>
        <w:tab/>
      </w:r>
      <w:r>
        <w:t xml:space="preserve">az egyes szervezeteknek a csoportszintű szavatolótőke-megfeleléshez való hozzájárulásával kapcsolatos információk;</w:t>
      </w:r>
    </w:p>
    <w:p w14:paraId="66E85F84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 xml:space="preserve">d)</w:t>
      </w:r>
      <w:r>
        <w:tab/>
      </w:r>
      <w:r>
        <w:t xml:space="preserve">a tőkepufferekkel kapcsolatos információk.</w:t>
      </w:r>
    </w:p>
    <w:p w14:paraId="7BA531FA" w14:textId="701A6BC9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28</w:t>
      </w:r>
      <w:r>
        <w:fldChar w:fldCharType="end"/>
      </w:r>
      <w:r>
        <w:t xml:space="preserve">.</w:t>
      </w:r>
      <w:r>
        <w:tab/>
      </w:r>
      <w:r>
        <w:t xml:space="preserve">Az 575/2013/EU rendelet 7. cikke alapján mentesülő intézmények kizárólag a 0010–0065-as és 0250–0400-as oszlopban szolgáltatnak adatot.</w:t>
      </w:r>
    </w:p>
    <w:p w14:paraId="0B7B3AA9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29</w:t>
      </w:r>
      <w:r>
        <w:fldChar w:fldCharType="end"/>
      </w:r>
      <w:r>
        <w:t xml:space="preserve">.</w:t>
      </w:r>
      <w:r>
        <w:tab/>
      </w:r>
      <w:r>
        <w:t xml:space="preserve">A feltüntetett adatoknak figyelembe kell venniük az 575/2013/EU rendelet összes olyan átmeneti rendelkezését, amely az adott adatszolgáltatás időpontjában alkalmazandó volt.</w:t>
      </w:r>
    </w:p>
    <w:p w14:paraId="11861C2C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7" w:name="_Toc360188341"/>
      <w:bookmarkStart w:id="8" w:name="_Toc473560889"/>
      <w:bookmarkStart w:id="9" w:name="_Toc151714377"/>
      <w:r>
        <w:rPr>
          <w:sz w:val="24"/>
          <w:u w:val="none"/>
          <w:rFonts w:ascii="Times New Roman" w:hAnsi="Times New Roman"/>
        </w:rPr>
        <w:t xml:space="preserve">2.2.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Részletes információk a csoportszintű szavatolótőke-megfelelésről</w:t>
      </w:r>
      <w:bookmarkEnd w:id="7"/>
      <w:bookmarkEnd w:id="8"/>
      <w:bookmarkEnd w:id="9"/>
    </w:p>
    <w:p w14:paraId="60F36EFE" w14:textId="40A5EBCA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30</w:t>
      </w:r>
      <w:r>
        <w:fldChar w:fldCharType="end"/>
      </w:r>
      <w:r>
        <w:t xml:space="preserve">.</w:t>
      </w:r>
      <w:r>
        <w:tab/>
      </w:r>
      <w:r>
        <w:t xml:space="preserve">A C 06.02 tábla második része (részletes információk a csoportszintű szavatolótőke-megfelelésről, 0070–0240-es oszlop) célja információk gyűjtése azon hitelintézetekről és egyéb szabályozott pénzügyi vállalkozásokról, amelyek egyedi alapon ténylegesen konkrét tőkemegfelelési követelmények hatálya alá tartoznak.</w:t>
      </w:r>
      <w:r>
        <w:t xml:space="preserve"> </w:t>
      </w:r>
      <w:r>
        <w:t xml:space="preserve">Az adatszolgáltatás körébe tartozó valamennyi szervezetre vonatkozóan rögzíti az egyes kockázati kategóriák szavatolótőke-követelményeit, valamint a tőkemegfelelés megállapításához szükséges szavatolótőke mértékét.</w:t>
      </w:r>
      <w:r>
        <w:t xml:space="preserve"> </w:t>
      </w:r>
    </w:p>
    <w:p w14:paraId="75F5EA26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31</w:t>
      </w:r>
      <w:r>
        <w:fldChar w:fldCharType="end"/>
      </w:r>
      <w:r>
        <w:t xml:space="preserve">.</w:t>
      </w:r>
      <w:r>
        <w:tab/>
      </w:r>
      <w:r>
        <w:t xml:space="preserve">A részesedések arányos konszolidálása esetében a szavatolótőke-követelményekkel és a szavatolótőkével kapcsolatos adatok az adott arányos összegeknek felelnek meg.</w:t>
      </w:r>
    </w:p>
    <w:p w14:paraId="7624B8E0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10" w:name="_Toc360188342"/>
      <w:bookmarkStart w:id="11" w:name="_Toc473560890"/>
      <w:bookmarkStart w:id="12" w:name="_Toc151714378"/>
      <w:r>
        <w:rPr>
          <w:sz w:val="24"/>
          <w:u w:val="none"/>
          <w:rFonts w:ascii="Times New Roman" w:hAnsi="Times New Roman"/>
        </w:rPr>
        <w:t xml:space="preserve">2.3.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Az egyes szervezeteknek a csoportszintű szavatolótőke-megfeleléshez való hozzájárulásával kapcsolatos információk</w:t>
      </w:r>
      <w:bookmarkEnd w:id="10"/>
      <w:bookmarkEnd w:id="11"/>
      <w:bookmarkEnd w:id="12"/>
    </w:p>
    <w:p w14:paraId="79D559FD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32</w:t>
      </w:r>
      <w:r>
        <w:fldChar w:fldCharType="end"/>
      </w:r>
      <w:r>
        <w:t xml:space="preserve">.</w:t>
      </w:r>
      <w:r>
        <w:tab/>
      </w:r>
      <w:r>
        <w:t xml:space="preserve">A C 06.02 tábla harmadik része és a C 06.01 tábla (az 575/2013/EU rendelet szerinti konszolidációs körbe vont egyes szervezeteknek – ezen belül azoknak, amelyekre egyedi alapon nem vonatkoznak konkrét tőkemegfelelési követelmények – a csoportszintű szavatolótőke-megfeleléshez való hozzájárulásával kapcsolatos információk, 0250–0400-as oszlop) meghatározza, hogy a csoporton belül mely szervezetek generálják a kockázatokat és vonnak be szavatolótőkét a piacról, amelyhez a könnyen hozzáférhető vagy könnyen újrafeldolgozható adatokat használja fel a tőkemegfelelési mutató egyedi vagy szubkonszolidált alapon történő rekonstruálása nélkül.</w:t>
      </w:r>
      <w:r>
        <w:t xml:space="preserve"> </w:t>
      </w:r>
      <w:r>
        <w:t xml:space="preserve">A szervezet szintjén a kockázatra és a szavatolótőkére vonatkozó adatok egyaránt a csoportszintű adatokhoz járulnak hozzá, és nem egyedi alapon számított tőkemegfelelési mutató részei, így egymással nem hasonlíthatók össze.</w:t>
      </w:r>
      <w:r>
        <w:t xml:space="preserve"> </w:t>
      </w:r>
    </w:p>
    <w:p w14:paraId="08EA3F6A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33</w:t>
      </w:r>
      <w:r>
        <w:fldChar w:fldCharType="end"/>
      </w:r>
      <w:r>
        <w:t xml:space="preserve">.</w:t>
      </w:r>
      <w:r>
        <w:tab/>
      </w:r>
      <w:r>
        <w:t xml:space="preserve">A harmadik rész ezenkívül magában foglalja a konszolidált szavatolótőkében figyelembe vehető, a kisebbségi részesedésekbe, AT1 tőkébe és T2 tőkébe beszámítható elemek összegét is.</w:t>
      </w:r>
    </w:p>
    <w:p w14:paraId="1D8F8CC4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34</w:t>
      </w:r>
      <w:r>
        <w:fldChar w:fldCharType="end"/>
      </w:r>
      <w:r>
        <w:t xml:space="preserve">.</w:t>
      </w:r>
      <w:r>
        <w:tab/>
      </w:r>
      <w:r>
        <w:t xml:space="preserve">Mivel a tábla harmadik része „hozzájárulásokat” említ, az itt feltüntetendő adatok adott esetben elmaradnak a csoportszintű szavatolótőke-megfeleléssel kapcsolatos részletes információkat tartalmazó oszlopokban megadott adatoktól.</w:t>
      </w:r>
    </w:p>
    <w:p w14:paraId="27180B14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35</w:t>
      </w:r>
      <w:r>
        <w:fldChar w:fldCharType="end"/>
      </w:r>
      <w:r>
        <w:t xml:space="preserve">.</w:t>
      </w:r>
      <w:r>
        <w:tab/>
      </w:r>
      <w:r>
        <w:t xml:space="preserve">A követendő alapelv szerint mind a kockázatok, mind a szavatolótőke szempontjából egységes módon kell kiküszöbölni az azonos csoporton belüli kölcsönös kitettségeket annak érdekében, hogy a csoport konszolidált CA táblában megadott értékek fedezete az egyes szervezetek csoportszintű szavatolótőke-megfelelésre vonatkozó táblában feltüntetett értékek hozzáadásával biztosítható legyen.</w:t>
      </w:r>
      <w:r>
        <w:t xml:space="preserve"> </w:t>
      </w:r>
      <w:r>
        <w:t xml:space="preserve">Azokban az esetekben, amikor az 1 %-os küszöbérték túllépésére nem kerül sor, a CA táblához nem alkalmazható közvetlen kapcsolat.</w:t>
      </w:r>
    </w:p>
    <w:p w14:paraId="606DC9DE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36</w:t>
      </w:r>
      <w:r>
        <w:fldChar w:fldCharType="end"/>
      </w:r>
      <w:r>
        <w:t xml:space="preserve">.</w:t>
      </w:r>
      <w:r>
        <w:tab/>
      </w:r>
      <w:r>
        <w:t xml:space="preserve">Az intézményeknek meg kell határozniuk a szervezetek közötti legcélszerűbb felosztási módszert a piaci kockázatot és működési kockázatot érintő esetleges diverzifikációs hatások figyelembevétele céljából.</w:t>
      </w:r>
    </w:p>
    <w:p w14:paraId="6EE62E0D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37</w:t>
      </w:r>
      <w:r>
        <w:fldChar w:fldCharType="end"/>
      </w:r>
      <w:r>
        <w:t xml:space="preserve">.</w:t>
      </w:r>
      <w:r>
        <w:tab/>
      </w:r>
      <w:r>
        <w:t xml:space="preserve">Egy konszolidált csoport magában foglalhat egy másik konszolidált csoportot.</w:t>
      </w:r>
      <w:r>
        <w:t xml:space="preserve"> </w:t>
      </w:r>
      <w:r>
        <w:t xml:space="preserve">Ez azt jelenti, hogy a részcsoportba tartozó szervezetekről külön-külön kell adatot szolgáltatni a teljes csoport GS tábláján, még akkor is, ha a részcsoportra magára is vonatkoznak adatszolgáltatási követelmények.</w:t>
      </w:r>
      <w:r>
        <w:t xml:space="preserve"> </w:t>
      </w:r>
      <w:r>
        <w:t xml:space="preserve">Az a részcsoport, amelyre adatszolgáltatási követelmények vonatkoznak, szintén benyújtja a GS táblát a csoportot alkotó minden egyes szervezetre vonatkozóan külön-külön, annak ellenére, hogy ezeket az adatokat tartalmazza a magasabb szinten konszolidált csoportra vonatkozó GS tábla.</w:t>
      </w:r>
      <w:r>
        <w:t xml:space="preserve"> </w:t>
      </w:r>
    </w:p>
    <w:p w14:paraId="0F8191DA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>seq paragraphs</w:instrText>
      </w:r>
      <w:r>
        <w:fldChar w:fldCharType="separate"/>
      </w:r>
      <w:r>
        <w:t>38</w:t>
      </w:r>
      <w:r>
        <w:fldChar w:fldCharType="end"/>
      </w:r>
      <w:r>
        <w:t xml:space="preserve">.</w:t>
      </w:r>
      <w:r>
        <w:tab/>
      </w:r>
      <w:r>
        <w:t xml:space="preserve">Az intézmény egy szervezetnek a teljes kockázati kitettségértékhez való hozzájárulásáról adatot szolgáltat akkor, ha szervezet teljes kockázati kitettségértéke meghaladja a csoport teljes kockázati kitettségértékének 1 %-át, vagy ha a szervezet teljes szavatoló tőkéje meghaladja a csoport teljes szavatoló tőkéjének 1 %-át.</w:t>
      </w:r>
      <w:r>
        <w:t xml:space="preserve"> </w:t>
      </w:r>
      <w:r>
        <w:t xml:space="preserve">Ez a küszöbérték nem alkalmazandó olyan leányvállalatok vagy alcsoportok esetében, amelyek kisebbségi részesedés vagy a szavatolótőke részét képező, az AT1 tőkébe vagy T2 tőkébe beszámítható instrumentumok formájában szavatolótőkét bocsátanak a csoport rendelkezésére.</w:t>
      </w:r>
    </w:p>
    <w:p w14:paraId="78C505AC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473560891"/>
      <w:bookmarkStart w:id="14" w:name="_Toc151714379"/>
      <w:r>
        <w:rPr>
          <w:sz w:val="24"/>
          <w:u w:val="none"/>
          <w:rFonts w:ascii="Times New Roman" w:hAnsi="Times New Roman"/>
        </w:rPr>
        <w:t xml:space="preserve">2.4.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06.01 – CSOPORTSZINTŰ SZAVATOLÓTŐKE-MEGFELELÉS: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INFORMÁCIÓK A CSOPORTBA TARTOZÓ SZERVEZETEKRŐL – ÖSSZESEN (GS Total)</w:t>
      </w:r>
      <w:bookmarkEnd w:id="13"/>
      <w:bookmarkEnd w:id="14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4A15857B" w14:textId="77777777" w:rsidTr="00822842">
        <w:tc>
          <w:tcPr>
            <w:tcW w:w="1188" w:type="dxa"/>
            <w:shd w:val="clear" w:color="auto" w:fill="CCCCCC"/>
          </w:tcPr>
          <w:p w14:paraId="3977A181" w14:textId="77777777" w:rsidR="00173F08" w:rsidRPr="001235ED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Oszlopok</w:t>
            </w:r>
          </w:p>
        </w:tc>
        <w:tc>
          <w:tcPr>
            <w:tcW w:w="8640" w:type="dxa"/>
            <w:shd w:val="clear" w:color="auto" w:fill="CCCCCC"/>
          </w:tcPr>
          <w:p w14:paraId="3D7B9BD1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Útmutató</w:t>
            </w:r>
          </w:p>
        </w:tc>
      </w:tr>
      <w:tr w:rsidR="00173F08" w:rsidRPr="002A677E" w14:paraId="0E9AB27C" w14:textId="77777777" w:rsidTr="00822842">
        <w:tc>
          <w:tcPr>
            <w:tcW w:w="1188" w:type="dxa"/>
          </w:tcPr>
          <w:p w14:paraId="36AE906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0250–0400</w:t>
            </w:r>
          </w:p>
        </w:tc>
        <w:tc>
          <w:tcPr>
            <w:tcW w:w="8640" w:type="dxa"/>
          </w:tcPr>
          <w:p w14:paraId="61E5CB21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KONSZOLIDÁCIÓ KÖRÉBE BEVONT SZERVEZETEK</w:t>
            </w:r>
          </w:p>
          <w:p w14:paraId="47AE8E6C" w14:textId="77777777" w:rsidR="00173F08" w:rsidRPr="002A677E" w:rsidRDefault="00173F08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Lásd a 06.02 táblához tartozó útmutatót.</w:t>
            </w:r>
          </w:p>
        </w:tc>
      </w:tr>
      <w:tr w:rsidR="00173F08" w:rsidRPr="002A677E" w14:paraId="2B2AB6C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C1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0410–0480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9B7A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TŐKEPUFFEREK</w:t>
            </w:r>
          </w:p>
          <w:p w14:paraId="4257537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Lásd a 06.02 táblához tartozó útmutatót.</w:t>
            </w:r>
          </w:p>
        </w:tc>
      </w:tr>
    </w:tbl>
    <w:p w14:paraId="20B2DE5D" w14:textId="77777777" w:rsidR="00173F08" w:rsidRPr="002A677E" w:rsidRDefault="00173F08" w:rsidP="00173F08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54185503" w14:textId="77777777" w:rsidTr="00822842">
        <w:tc>
          <w:tcPr>
            <w:tcW w:w="1188" w:type="dxa"/>
            <w:shd w:val="clear" w:color="auto" w:fill="CCCCCC"/>
          </w:tcPr>
          <w:p w14:paraId="0909691C" w14:textId="77777777" w:rsidR="00173F08" w:rsidRPr="001235ED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Sorok</w:t>
            </w:r>
          </w:p>
        </w:tc>
        <w:tc>
          <w:tcPr>
            <w:tcW w:w="8640" w:type="dxa"/>
            <w:shd w:val="clear" w:color="auto" w:fill="CCCCCC"/>
          </w:tcPr>
          <w:p w14:paraId="49120A0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Útmutató</w:t>
            </w:r>
          </w:p>
        </w:tc>
      </w:tr>
      <w:tr w:rsidR="00173F08" w:rsidRPr="002A677E" w14:paraId="6283A16E" w14:textId="77777777" w:rsidTr="00822842">
        <w:tc>
          <w:tcPr>
            <w:tcW w:w="1188" w:type="dxa"/>
          </w:tcPr>
          <w:p w14:paraId="4482281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50489F38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ÖSSZESEN</w:t>
            </w:r>
          </w:p>
          <w:p w14:paraId="0D110F46" w14:textId="77777777" w:rsidR="00173F08" w:rsidRPr="002A677E" w:rsidRDefault="00173F08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Ebben a sorban a C 06.02 tábla soraiban feltüntetett értékek összegét kell szerepeltetni.</w:t>
            </w:r>
          </w:p>
        </w:tc>
      </w:tr>
    </w:tbl>
    <w:p w14:paraId="6ED4F138" w14:textId="77777777" w:rsidR="00173F08" w:rsidRPr="002A677E" w:rsidRDefault="00173F08" w:rsidP="00173F08">
      <w:pPr>
        <w:pStyle w:val="InstructionsText"/>
      </w:pPr>
    </w:p>
    <w:p w14:paraId="7A36DFA3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5" w:name="_Toc473560892"/>
      <w:bookmarkStart w:id="16" w:name="_Toc151714380"/>
      <w:r>
        <w:rPr>
          <w:sz w:val="24"/>
          <w:u w:val="none"/>
          <w:rFonts w:ascii="Times New Roman" w:hAnsi="Times New Roman"/>
        </w:rPr>
        <w:t xml:space="preserve">2.5.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06.02 – CSOPORTSZINTŰ SZAVATOLÓTŐKE-MEGFELELÉS: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INFORMÁCIÓK A CSOPORTBA TARTOZÓ SZERVEZETEKRŐL (GS)</w:t>
      </w:r>
      <w:bookmarkEnd w:id="15"/>
      <w:bookmarkEnd w:id="16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381D52BF" w14:textId="77777777" w:rsidTr="00822842">
        <w:tc>
          <w:tcPr>
            <w:tcW w:w="1188" w:type="dxa"/>
            <w:shd w:val="clear" w:color="auto" w:fill="CCCCCC"/>
          </w:tcPr>
          <w:p w14:paraId="262E5871" w14:textId="77777777" w:rsidR="00173F08" w:rsidRPr="001235ED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Oszlopok</w:t>
            </w:r>
          </w:p>
        </w:tc>
        <w:tc>
          <w:tcPr>
            <w:tcW w:w="8640" w:type="dxa"/>
            <w:shd w:val="clear" w:color="auto" w:fill="CCCCCC"/>
          </w:tcPr>
          <w:p w14:paraId="5B03B400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Útmutató</w:t>
            </w:r>
          </w:p>
        </w:tc>
      </w:tr>
      <w:tr w:rsidR="00173F08" w:rsidRPr="002A677E" w14:paraId="3BC0042D" w14:textId="77777777" w:rsidTr="00822842">
        <w:tc>
          <w:tcPr>
            <w:tcW w:w="1188" w:type="dxa"/>
          </w:tcPr>
          <w:p w14:paraId="57FC2EB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0011–0060</w:t>
            </w:r>
          </w:p>
        </w:tc>
        <w:tc>
          <w:tcPr>
            <w:tcW w:w="8640" w:type="dxa"/>
          </w:tcPr>
          <w:p w14:paraId="00983D2E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KONSZOLIDÁCIÓ KÖRÉBE BEVONT SZERVEZETEK</w:t>
            </w:r>
          </w:p>
          <w:p w14:paraId="6B6FD15E" w14:textId="77777777" w:rsidR="00173F08" w:rsidRPr="002A677E" w:rsidRDefault="00173F08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 tábla célja, hogy az 575/2013/EU rendelet első része II. címének 2. fejezete szerinti konszolidációba bevont valamennyi szervezetről egyedileg gyűjtsön információkat.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7681C175" w14:textId="77777777" w:rsidTr="00822842">
        <w:tc>
          <w:tcPr>
            <w:tcW w:w="1188" w:type="dxa"/>
          </w:tcPr>
          <w:p w14:paraId="506D0F7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0011</w:t>
            </w:r>
          </w:p>
        </w:tc>
        <w:tc>
          <w:tcPr>
            <w:tcW w:w="8640" w:type="dxa"/>
          </w:tcPr>
          <w:p w14:paraId="02F7D96C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NÉV</w:t>
            </w:r>
          </w:p>
          <w:p w14:paraId="795CC1B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konszolidáció körébe bevont szervezet neve.</w:t>
            </w:r>
          </w:p>
        </w:tc>
      </w:tr>
      <w:tr w:rsidR="00173F08" w:rsidRPr="002A677E" w14:paraId="2E707E2D" w14:textId="77777777" w:rsidTr="00822842">
        <w:tc>
          <w:tcPr>
            <w:tcW w:w="1188" w:type="dxa"/>
          </w:tcPr>
          <w:p w14:paraId="6AE7AD3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0021</w:t>
            </w:r>
          </w:p>
        </w:tc>
        <w:tc>
          <w:tcPr>
            <w:tcW w:w="8640" w:type="dxa"/>
          </w:tcPr>
          <w:p w14:paraId="54EC5591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KÓD</w:t>
            </w:r>
          </w:p>
          <w:p w14:paraId="099B8601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 xml:space="preserve">A sorazonosító részét képező kódnak minden egyes jelentett jogalany esetében egyedinek kell lennie.</w:t>
            </w:r>
            <w:r>
              <w:rPr>
                <w:rStyle w:val="InstructionsTabelleText"/>
              </w:rPr>
              <w:t xml:space="preserve"> </w:t>
            </w:r>
            <w:r>
              <w:rPr>
                <w:rStyle w:val="InstructionsTabelleText"/>
              </w:rPr>
              <w:t xml:space="preserve">Intézmények és biztosítók esetében a kód a LEI-kód.</w:t>
            </w:r>
            <w:r>
              <w:rPr>
                <w:rStyle w:val="InstructionsTabelleText"/>
              </w:rPr>
              <w:t xml:space="preserve"> </w:t>
            </w:r>
            <w:r>
              <w:rPr>
                <w:rStyle w:val="InstructionsTabelleText"/>
              </w:rPr>
              <w:t xml:space="preserve">Más jogalanyok esetében a kód a LEI-kód, vagy ha nem áll rendelkezésre, valamely nemzeti kód.</w:t>
            </w:r>
            <w:r>
              <w:rPr>
                <w:rStyle w:val="InstructionsTabelleText"/>
              </w:rPr>
              <w:t xml:space="preserve"> </w:t>
            </w:r>
            <w:r>
              <w:rPr>
                <w:rStyle w:val="InstructionsTabelleText"/>
              </w:rPr>
              <w:t xml:space="preserve">A kódnak egyedinek kell lennie, és azt (időben is) következetesen kell használni a táblákban.</w:t>
            </w:r>
            <w:r>
              <w:rPr>
                <w:rStyle w:val="InstructionsTabelleText"/>
              </w:rPr>
              <w:t xml:space="preserve"> </w:t>
            </w:r>
            <w:r>
              <w:rPr>
                <w:rStyle w:val="InstructionsTabelleText"/>
              </w:rPr>
              <w:t xml:space="preserve">A kód mezőnek mindig kell tartalmaznia valamilyen értéket.</w:t>
            </w:r>
          </w:p>
        </w:tc>
      </w:tr>
      <w:tr w:rsidR="00173F08" w:rsidRPr="002A677E" w14:paraId="082E2FA1" w14:textId="77777777" w:rsidTr="00822842">
        <w:tc>
          <w:tcPr>
            <w:tcW w:w="1188" w:type="dxa"/>
          </w:tcPr>
          <w:p w14:paraId="2CA5457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0026</w:t>
            </w:r>
          </w:p>
        </w:tc>
        <w:tc>
          <w:tcPr>
            <w:tcW w:w="8640" w:type="dxa"/>
          </w:tcPr>
          <w:p w14:paraId="5B6693C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KÓDTÍPUS</w:t>
            </w:r>
          </w:p>
          <w:p w14:paraId="094070A5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intézményeknek a 0021-es oszlopban feltüntetett kódtípust „LEI-kód”-ként vagy „Nem-LEI-kód”-ként kell megadniuk.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 kódtípust mindig meg kell adni.</w:t>
            </w:r>
          </w:p>
        </w:tc>
      </w:tr>
      <w:tr w:rsidR="00173F08" w:rsidRPr="002A677E" w14:paraId="115CCEB9" w14:textId="77777777" w:rsidTr="00822842">
        <w:tc>
          <w:tcPr>
            <w:tcW w:w="1188" w:type="dxa"/>
          </w:tcPr>
          <w:p w14:paraId="6EE5E41D" w14:textId="77777777" w:rsidR="00173F08" w:rsidRPr="002A677E" w:rsidDel="00BF0637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0027</w:t>
            </w:r>
          </w:p>
        </w:tc>
        <w:tc>
          <w:tcPr>
            <w:tcW w:w="8640" w:type="dxa"/>
          </w:tcPr>
          <w:p w14:paraId="046D285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NEMZETI KÓD</w:t>
            </w:r>
          </w:p>
          <w:p w14:paraId="6AB087F6" w14:textId="77777777" w:rsidR="00173F08" w:rsidRPr="002A677E" w:rsidDel="00BF0637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akkor is megadhatják a nemzeti kódot, amikor a „Kód” oszlopban a LEI-kódot tüntetik fel azonosítóként.</w:t>
            </w:r>
          </w:p>
        </w:tc>
      </w:tr>
      <w:tr w:rsidR="00173F08" w:rsidRPr="002A677E" w14:paraId="6D220418" w14:textId="77777777" w:rsidTr="00822842">
        <w:tc>
          <w:tcPr>
            <w:tcW w:w="1188" w:type="dxa"/>
          </w:tcPr>
          <w:p w14:paraId="3073475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51843D3A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INTÉZMÉNY VAGY ANNAK MEGFELELŐ (IGEN / NEM)</w:t>
            </w:r>
          </w:p>
          <w:p w14:paraId="592DC07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„IGEN” értéket kell megadni akkor, ha a szervezetre az 575/2013/EU rendelet és a 2013/36/EU irányelv szerinti szavatolótőke-követelmények, vagy legalább a Bázel-szabályokkal egyenértékű rendelkezések vonatkoznak.</w:t>
            </w:r>
          </w:p>
          <w:p w14:paraId="4B3EAD9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Egyéb esetben a „NEM” értéket kell megadni.</w:t>
            </w:r>
          </w:p>
          <w:p w14:paraId="3E96517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</w:p>
          <w:p w14:paraId="27BF6938" w14:textId="77777777" w:rsidR="00173F08" w:rsidRPr="002A677E" w:rsidRDefault="00173F08" w:rsidP="00822842">
            <w:pPr>
              <w:ind w:left="372" w:hanging="360"/>
              <w:contextualSpacing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Wingdings" w:hAnsi="Wingdings"/>
              </w:rPr>
              <w:t xml:space="preserve"></w:t>
            </w:r>
            <w:r>
              <w:rPr>
                <w:rStyle w:val="InstructionsTabelleText"/>
                <w:sz w:val="24"/>
                <w:rFonts w:ascii="Wingdings" w:hAnsi="Wingdings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Kisebbségi részesedések:</w:t>
            </w:r>
          </w:p>
          <w:p w14:paraId="753444E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81. cikke (1) bekezdése a) pontjának ii. alpontja és 82. cikke (1) bekezdése a) pontjának ii. alpontja.</w:t>
            </w:r>
          </w:p>
          <w:p w14:paraId="714487F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kisebbségi részesedések, valamint a leányvállalatok által kibocsátott AT1 tőke és T2 tőkeinstrumentumok szempontjából az olyan leányvállalatok instrumentumai vehetők figyelembe, amelyek az alkalmazandó nemzeti jognál fogva az 575/2013/EU rendelet követelményeinek hatálya alá tartozó intézmények vagy vállalkozások.</w:t>
            </w:r>
          </w:p>
        </w:tc>
      </w:tr>
      <w:tr w:rsidR="00173F08" w:rsidRPr="002A677E" w14:paraId="7BBFE780" w14:textId="77777777" w:rsidTr="00822842">
        <w:tc>
          <w:tcPr>
            <w:tcW w:w="1188" w:type="dxa"/>
          </w:tcPr>
          <w:p w14:paraId="4D04116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0035</w:t>
            </w:r>
          </w:p>
        </w:tc>
        <w:tc>
          <w:tcPr>
            <w:tcW w:w="8640" w:type="dxa"/>
          </w:tcPr>
          <w:p w14:paraId="301D03B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SZERVEZET TÍPUSA</w:t>
            </w:r>
          </w:p>
          <w:p w14:paraId="64249F7B" w14:textId="77777777" w:rsidR="00173F08" w:rsidRPr="002A677E" w:rsidRDefault="00173F08" w:rsidP="00822842">
            <w:pPr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szervezet típusát a következő kategóriák alapján kell feltüntetni:</w:t>
            </w:r>
          </w:p>
          <w:p w14:paraId="6C071244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hitelintézet</w:t>
            </w:r>
          </w:p>
          <w:p w14:paraId="665499B6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 bekezdésének 1. pontja.</w:t>
            </w:r>
          </w:p>
          <w:p w14:paraId="5699C13E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befektetési vállalkozás</w:t>
            </w:r>
          </w:p>
          <w:p w14:paraId="63975777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 bekezdésének 2. pontja.</w:t>
            </w:r>
          </w:p>
          <w:p w14:paraId="4003584E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pénzügyi intézmény (egyéb)</w:t>
            </w:r>
          </w:p>
          <w:p w14:paraId="5B5F8DA3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 bekezdésének 20., 21. és 26. pontja.</w:t>
            </w:r>
          </w:p>
          <w:p w14:paraId="7BC9963B" w14:textId="76B95B64" w:rsidR="00173F08" w:rsidRPr="002A677E" w:rsidRDefault="00173F08" w:rsidP="00822842">
            <w:pPr>
              <w:tabs>
                <w:tab w:val="left" w:pos="372"/>
              </w:tabs>
              <w:ind w:left="399" w:hanging="399"/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 bekezdésének 26. pontja szerinti pénzügyi vállalkozások, amelyek a d), e) vagy g) kategória egyikébe sem tartoznak;</w:t>
            </w:r>
          </w:p>
          <w:p w14:paraId="7F954479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(vegyes) pénzügyi holdingtársaság</w:t>
            </w:r>
          </w:p>
          <w:p w14:paraId="1C70DDA8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 bekezdésének 20. és 21. pontja.</w:t>
            </w:r>
          </w:p>
          <w:p w14:paraId="30F427B6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kiegészítő szolgáltatásokat nyújtó (járulékos) vállalkozás</w:t>
            </w:r>
          </w:p>
          <w:p w14:paraId="21A43501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 bekezdésének 18. pontja.</w:t>
            </w:r>
          </w:p>
          <w:p w14:paraId="33923092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különleges célú gazdasági egység</w:t>
            </w:r>
          </w:p>
          <w:p w14:paraId="0A5E1647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Az 575/2013/EU rendelet 4. cikke (1) bekezdésének 66. pontja.</w:t>
            </w:r>
          </w:p>
          <w:p w14:paraId="56894EF9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fedezettkötvény-társaság</w:t>
            </w:r>
          </w:p>
          <w:p w14:paraId="6CA79499" w14:textId="77777777" w:rsidR="00173F08" w:rsidRPr="002A677E" w:rsidRDefault="00173F08" w:rsidP="00822842">
            <w:pPr>
              <w:tabs>
                <w:tab w:val="left" w:pos="372"/>
              </w:tabs>
              <w:ind w:left="372"/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Fedezett kötvények kibocsátása vagy fedezett kötvény fedezetéül szolgáló biztosíték tartása céljából létrehozott szervezet, ha a fenti a), b) vagy d)–f) kategóriák egyikébe sem tartozik.</w:t>
            </w:r>
          </w:p>
          <w:p w14:paraId="73FCB23B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h)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ab/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egyéb típusú szervezet</w:t>
            </w:r>
          </w:p>
          <w:p w14:paraId="404E7CFE" w14:textId="77777777" w:rsidR="00173F08" w:rsidRPr="002A677E" w:rsidRDefault="00173F08" w:rsidP="00822842">
            <w:pPr>
              <w:tabs>
                <w:tab w:val="left" w:pos="372"/>
              </w:tabs>
              <w:ind w:left="372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a)–g) pontban említettektől eltérő szervezet.</w:t>
            </w:r>
          </w:p>
          <w:p w14:paraId="1E1DE3FB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Amennyiben valamely szervezet nem tartozik az 575/2013/EU rendelet és a 2013/36/EU irányelv hatálya alá, de a bázeli előírásokkal legalább egyenértékű előírások hatálya alá tartozik, a vonatkozó kategóriát a legnagyobb gondosság elve alapján kell meghatározni.</w:t>
            </w:r>
          </w:p>
        </w:tc>
      </w:tr>
      <w:tr w:rsidR="00173F08" w:rsidRPr="002A677E" w14:paraId="177D0BA5" w14:textId="77777777" w:rsidTr="00822842">
        <w:tc>
          <w:tcPr>
            <w:tcW w:w="1188" w:type="dxa"/>
          </w:tcPr>
          <w:p w14:paraId="0C21191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6CCCE12B" w14:textId="77777777" w:rsidR="00173F08" w:rsidRPr="002A677E" w:rsidRDefault="00173F0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ADATOK TERJEDELME: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caps/>
                <w:rFonts w:ascii="Times New Roman" w:hAnsi="Times New Roman"/>
              </w:rPr>
              <w:t xml:space="preserve">egyedi alapon teljeskörűen konszolidált (SF) vagy egyedi alapon részlegesen konszolidált (SP)</w:t>
            </w:r>
          </w:p>
          <w:p w14:paraId="0AE72FF3" w14:textId="77777777" w:rsidR="00173F08" w:rsidRPr="002A677E" w:rsidRDefault="00173F08" w:rsidP="00822842">
            <w:pPr>
              <w:rPr>
                <w:rStyle w:val="Heading1Char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Teljeskörűen konszolidált egyedi leányvállalatok esetében „SF” értéket kell megadni.</w:t>
            </w:r>
            <w:r>
              <w:rPr>
                <w:sz w:val="24"/>
                <w:rStyle w:val="Heading1Char"/>
                <w:rFonts w:ascii="Times New Roman" w:hAnsi="Times New Roman"/>
              </w:rPr>
              <w:t xml:space="preserve"> </w:t>
            </w:r>
          </w:p>
          <w:p w14:paraId="62274488" w14:textId="77777777" w:rsidR="00173F08" w:rsidRPr="002A677E" w:rsidRDefault="00173F08" w:rsidP="00822842">
            <w:pPr>
              <w:rPr>
                <w:rStyle w:val="InstructionsTabelleText"/>
                <w:smallCap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Teljeskörűen konszolidált egyedi leányvállalatok esetében „SP” értéket kell megadni.</w:t>
            </w:r>
            <w:r>
              <w:rPr>
                <w:sz w:val="24"/>
                <w:rStyle w:val="InstructionsTabelleText"/>
                <w:i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5114D2FB" w14:textId="77777777" w:rsidTr="00822842">
        <w:tc>
          <w:tcPr>
            <w:tcW w:w="1188" w:type="dxa"/>
          </w:tcPr>
          <w:p w14:paraId="3334848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00CDACE7" w14:textId="77777777" w:rsidR="00173F08" w:rsidRPr="002A677E" w:rsidRDefault="00173F0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ORSZÁGKÓD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D6EDCAD" w14:textId="3FF412B9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intézményeknek a kétbetűs országkódot az ISO 3166-1 alpha-2 szabvány szerint kell megadniuk.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78D1D7A5" w14:textId="77777777" w:rsidTr="00822842">
        <w:tc>
          <w:tcPr>
            <w:tcW w:w="1188" w:type="dxa"/>
          </w:tcPr>
          <w:p w14:paraId="26EECF6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3297BC06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RÉSZESEDÉS ARÁNYA (%)</w:t>
            </w:r>
          </w:p>
          <w:p w14:paraId="0214F39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Az anyavállalat által a leányvállalatokban birtokolt tényleges tőkerészesedés.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Közvetlen leányvállalat teljes körű konszolidálása esetében a tényleges részesedés pl. 70 %.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4. cikke (1) bekezdése 16. pontjának megfelelően egy leányvállalatban birtokolt, feltüntetendő részesedés az érintett leányvállalatok közötti részesedések szorzataként adódik.</w:t>
            </w:r>
          </w:p>
        </w:tc>
      </w:tr>
      <w:tr w:rsidR="00173F08" w:rsidRPr="002A677E" w14:paraId="55A34781" w14:textId="77777777" w:rsidTr="00822842">
        <w:tc>
          <w:tcPr>
            <w:tcW w:w="1188" w:type="dxa"/>
          </w:tcPr>
          <w:p w14:paraId="254AD57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0065</w:t>
            </w:r>
          </w:p>
        </w:tc>
        <w:tc>
          <w:tcPr>
            <w:tcW w:w="8640" w:type="dxa"/>
          </w:tcPr>
          <w:p w14:paraId="42EB5499" w14:textId="77777777" w:rsidR="00173F08" w:rsidRPr="002A677E" w:rsidRDefault="00173F0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BESZÁMÍTÓ CSOPORT</w:t>
            </w:r>
          </w:p>
          <w:p w14:paraId="591957C8" w14:textId="77777777" w:rsidR="00173F08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„Beszámító csoport”: a következők bármelyike:</w:t>
            </w:r>
          </w:p>
          <w:p w14:paraId="3C498A91" w14:textId="77777777" w:rsidR="00173F08" w:rsidRPr="000F4F88" w:rsidRDefault="00173F08" w:rsidP="00173F08">
            <w:pPr>
              <w:pStyle w:val="ListParagraph"/>
              <w:numPr>
                <w:ilvl w:val="0"/>
                <w:numId w:val="3"/>
              </w:num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olyan szervezetek csoportja, amelyek esetében az illetékes hatóság az 575/2013/EU rendelet 325b. cikkével összhangban engedélyezte, hogy az adott csoport egyik intézményében vagy vállalkozásában lévő pozíciókat az adott csoport egy másik intézményében vagy vállalkozásában fennálló pozíciók beszámítására használják;</w:t>
            </w:r>
          </w:p>
          <w:p w14:paraId="6C55C0A1" w14:textId="77777777" w:rsidR="00173F08" w:rsidRPr="000059B8" w:rsidRDefault="00173F08" w:rsidP="00173F08">
            <w:pPr>
              <w:pStyle w:val="ListParagraph"/>
              <w:numPr>
                <w:ilvl w:val="0"/>
                <w:numId w:val="3"/>
              </w:numPr>
              <w:rPr>
                <w:rStyle w:val="InstructionsTabelleText"/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bármely olyan egyedi szervezet, amelynek pozícióit nem lehet beszámítani az ugyanazon csoporthoz tartozó, a 2013/36/EU irányelv szerinti összevont alapú felügyelet hatálya alá tartozó bármely más szervezet pozícióiba, mivel az illetékes hatóság nem adta meg az említett rendelet 325b. cikke szerinti engedélyt.</w:t>
            </w:r>
          </w:p>
          <w:p w14:paraId="30CBC62B" w14:textId="77777777" w:rsidR="00173F08" w:rsidRPr="000059B8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intézményeknek akkor kell megadniuk a táblában felsorolt szervezetek beszámító csoportját, ha megfelelnek az alábbi két feltételnek:</w:t>
            </w:r>
          </w:p>
          <w:p w14:paraId="147E25D5" w14:textId="77777777" w:rsidR="00173F08" w:rsidRPr="000059B8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a) a piaci kockázatnak kitett üzleti tevékenységükre vonatkozó szavatolótőke-követelményt az 575/2013/EU rendelet harmadik része IV. címének 1a. és/vagy 1b. fejezetével összhangban számítják ki, vagy az említett rendelet 430. cikkének (2a) vagy (2b) bekezdésével összhangban az említett szavatolótőke-követelmények tekintetében adatszolgáltatási kötelezettség hatálya alá tartoznak;</w:t>
            </w:r>
          </w:p>
          <w:p w14:paraId="467E176C" w14:textId="77777777" w:rsidR="00173F08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b) a 2013/36/EU irányelv szerinti összevont felügyelet alá tartozó csoport legalább két beszámító csoportot foglal magában.</w:t>
            </w:r>
          </w:p>
          <w:p w14:paraId="6E55692B" w14:textId="77777777" w:rsidR="00173F08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Ebben az oszlopban a következőt kell feltüntetni: „1. beszámító csoport”, „2. beszámító csoport” stb.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jogi személyek és a beszámító csoportok közötti hozzárendelésnek következetesnek kell lennie mind időben, mind az adott összevont felügyelet alá tartozó csoport adatszolgáltatásai között, mind a beszámító csoportoknak az </w:t>
            </w:r>
            <w:r>
              <w:rPr>
                <w:rStyle w:val="InstructionsTabelleText"/>
                <w:sz w:val="24"/>
                <w:highlight w:val="yellow"/>
                <w:rFonts w:ascii="Times New Roman" w:hAnsi="Times New Roman"/>
              </w:rPr>
              <w:t xml:space="preserve">[(EU) 2021/453 rendelet I. mellékletében]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szereplő táblákban történő azonosítása tekintetében.</w:t>
            </w:r>
          </w:p>
          <w:p w14:paraId="5DB075C7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Ha az intézmény megfelel az a) pont szerinti feltételnek, de a 2013/36/EU irányelv szerinti összevont felügyelet alá tartozó csoport csak egyetlen beszámító csoportot tartalmaz, akkor az intézmény az e táblában feltüntetett csoport anyavállalatának megfelelő sorban az „egyetlen beszámító csoport” értéket tünteti fel.</w:t>
            </w:r>
          </w:p>
        </w:tc>
      </w:tr>
      <w:tr w:rsidR="00173F08" w:rsidRPr="002A677E" w14:paraId="79BDBC0E" w14:textId="77777777" w:rsidTr="00822842">
        <w:tc>
          <w:tcPr>
            <w:tcW w:w="1188" w:type="dxa"/>
          </w:tcPr>
          <w:p w14:paraId="73FB157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0070–0240</w:t>
            </w:r>
          </w:p>
        </w:tc>
        <w:tc>
          <w:tcPr>
            <w:tcW w:w="8640" w:type="dxa"/>
          </w:tcPr>
          <w:p w14:paraId="0274B016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SZAVATOLÓTŐKE-KÖVETELMÉNY HATÁLYA ALÁ TARTOZÓ SZERVEZETEKKEL KAPCSOLATOS INFORMÁCIÓK</w:t>
            </w:r>
          </w:p>
          <w:p w14:paraId="5193F4B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részletes információkat tartalmazó rész (0070–0240-es oszlop) kizárólag az olyan szervezetekről és alcsoportokról gyűjt információkat, amelyekre – mivel az 575/2013/EU rendelet első része II. címének 2. fejezete szerinti konszolidáció körébe tartoznak – az 575/2013/EU rendeletben meghatározott tőkemegfelelési követelmények, vagy legalább a bázeli szabályokkal egyenértékű rendelkezések ténylegesen vonatkoznak (vagyis amelyeknél a 0030-as oszlop értéke „igen”).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341FD737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Egy konszolidált csoporton belüli valamennyi olyan egyedi intézményről, amelyre szavatolótőke-követelmények vonatkoznak, az intézmény helyétől függetlenül információt kell adni.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4903571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ebben a részben megadott adatoknak tükrözniük kell az intézmény tevékenységének helye szerinti tőkemegfelelési szabályokat (ezért ehhez a táblához nem szükséges egyedi alapon az anyaintézmény szabályai szerinti kettős számítást végezni).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rendelettől eltérő helyi tőkemegfelelési szabályok esetén hasonló felosztás hiányában az információkat akkor kell megadni, ha a megfelelő részletezettségű adatok rendelkezésre állnak.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Ez a rész tehát olyan konkrét adatokat tartalmazó tábla, amely a csoport egyedi intézményei által elvégzendő számításokat összegzi, figyelembe véve azt, hogy az intézmények közül egyesekre eltérő tőkemegfelelési szabályok vonatkozhatnak.</w:t>
            </w:r>
          </w:p>
          <w:p w14:paraId="6B5F0F6F" w14:textId="77777777" w:rsidR="00173F08" w:rsidRPr="002A677E" w:rsidRDefault="00173F08" w:rsidP="00822842">
            <w:pP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Adatszolgáltatás a befektetési vállalkozások fix általános költségeiről:</w:t>
            </w:r>
          </w:p>
          <w:p w14:paraId="38DFF7EE" w14:textId="77777777" w:rsidR="00173F08" w:rsidRPr="002A677E" w:rsidRDefault="00173F08" w:rsidP="00822842">
            <w:pPr>
              <w:autoSpaceDE w:val="0"/>
              <w:autoSpaceDN w:val="0"/>
              <w:adjustRightInd w:val="0"/>
              <w:spacing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befektetési vállalkozásoknak meg kell adniuk a tőkemegfelelési mutatónak az 575/2013/EU rendelet 95., 96., 97. és 98. cikke szerinti számításában figyelembe vett fix általános költségekkel kapcsolatos szavatolótőke-követelményeket.</w:t>
            </w:r>
          </w:p>
          <w:p w14:paraId="033740CD" w14:textId="77777777" w:rsidR="00173F08" w:rsidRPr="002A677E" w:rsidRDefault="00173F08" w:rsidP="00822842">
            <w:pPr>
              <w:autoSpaceDE w:val="0"/>
              <w:autoSpaceDN w:val="0"/>
              <w:adjustRightInd w:val="0"/>
              <w:spacing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teljes kockázati kitettségértéknek a fix általános költségekhez kapcsolódó részét e tábla 0100-as oszlopában kell megadni.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63C531B9" w14:textId="77777777" w:rsidTr="00822842">
        <w:tc>
          <w:tcPr>
            <w:tcW w:w="1188" w:type="dxa"/>
          </w:tcPr>
          <w:p w14:paraId="7EE45F25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1A22FB2A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TELJES KOCKÁZATI KITETTSÉGÉRTÉK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B0A435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0080–0110-es oszlopok összegét kell megadni.</w:t>
            </w:r>
          </w:p>
        </w:tc>
      </w:tr>
      <w:tr w:rsidR="00173F08" w:rsidRPr="002A677E" w14:paraId="1431A12F" w14:textId="77777777" w:rsidTr="00822842">
        <w:tc>
          <w:tcPr>
            <w:tcW w:w="1188" w:type="dxa"/>
          </w:tcPr>
          <w:p w14:paraId="1F1161F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640" w:type="dxa"/>
          </w:tcPr>
          <w:p w14:paraId="78E93AAA" w14:textId="77777777" w:rsidR="00173F08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TŐKEKÜSZÖBÉRTÉK MIATTI KIIGAZÍTÁS (TŐKEKÜSZÖBÉRTÉK TREA)</w:t>
            </w:r>
          </w:p>
          <w:p w14:paraId="267C9374" w14:textId="77777777" w:rsidR="00173F08" w:rsidRPr="00601EA3" w:rsidRDefault="00173F08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A gazdálkodó egységeknek az egyéni alapon kiszámított tőkeküszöbérték miatti kiigazítást kell megadniuk.</w:t>
            </w:r>
          </w:p>
        </w:tc>
      </w:tr>
      <w:tr w:rsidR="00173F08" w:rsidRPr="002A677E" w14:paraId="5B3929C2" w14:textId="77777777" w:rsidTr="00822842">
        <w:tc>
          <w:tcPr>
            <w:tcW w:w="1188" w:type="dxa"/>
          </w:tcPr>
          <w:p w14:paraId="4F014BF5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7FCBE59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HITELKOCKÁZAT;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PARTNERKOCKÁZAT;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FELHÍGULÁSI KOCKÁZAT, NYITVA SZÁLLÍTÁSOK, KIEGYENLÍTÉSI/TELJESÍTÉSI KOCKÁZAT</w:t>
            </w:r>
          </w:p>
          <w:p w14:paraId="4C32FDA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ebben az oszlopban feltüntetendő érték a CA2 tábla 0040-es sorában (HITELKOCKÁZATRA, PARTNERKOCKÁZATRA ÉS FELHÍGULÁSI KOCKÁZATRA, VALAMINT NYITVA SZÁLLÍTÁSOKRA VONATKOZÓ, KOCKÁZATTAL SÚLYOZOTT KITETTSÉGÉRTÉKEK) feltüntetendő értékekkel megegyező vagy egyenértékű kockázattal súlyozott kitettségértékeknek, valamint a 0490-es sorában (A KIEGYENLÍTÉSI/TELJESÍTÉSI KOCKÁZAT TELJES KOCKÁZATI KITETTSÉGÉRTÉKE) feltüntetendő értékekkel megegyező vagy egyenértékű szavatolótőkekövetelmény-összegeknek az összege.</w:t>
            </w:r>
          </w:p>
        </w:tc>
      </w:tr>
      <w:tr w:rsidR="00173F08" w:rsidRPr="002A677E" w14:paraId="48538122" w14:textId="77777777" w:rsidTr="00822842">
        <w:tc>
          <w:tcPr>
            <w:tcW w:w="1188" w:type="dxa"/>
          </w:tcPr>
          <w:p w14:paraId="3B03E59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1F8CDF0D" w14:textId="117F25BE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PIACI KOCKÁZATOK</w:t>
            </w:r>
          </w:p>
          <w:p w14:paraId="7A55CAD7" w14:textId="55D7980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ebben az oszlopban feltüntetendő érték a CA2 tábla 0520-as sorában (A PIACI KOCKÁZATNAK KITETT ÜZLETI TEVÉKENYSÉG TELJES KOCKÁZATI KITETTSÉGÉRTÉKE) megadott összeggel megegyező vagy egyenértékű tőkekövetelmény-összeg.</w:t>
            </w:r>
          </w:p>
        </w:tc>
      </w:tr>
      <w:tr w:rsidR="00173F08" w:rsidRPr="002A677E" w14:paraId="292EDAF3" w14:textId="77777777" w:rsidTr="00822842">
        <w:tc>
          <w:tcPr>
            <w:tcW w:w="1188" w:type="dxa"/>
          </w:tcPr>
          <w:p w14:paraId="468DC5E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47EDEC8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MŰKÖDÉSI KOCKÁZAT</w:t>
            </w:r>
          </w:p>
          <w:p w14:paraId="0D971CE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ebben az oszlopban feltüntetendő érték a CA2 tábla 0590-es sorában (MŰKÖDÉSI KOCKÁZAT (OpR) TELJES KOCKÁZATI KITETTSÉGÉRTÉKE) megadott összeggel megegyező vagy egyenértékű kitettségérték.</w:t>
            </w:r>
          </w:p>
          <w:p w14:paraId="793CB66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Ebben az oszlopban kell megadni a fix általános költségeket, ezen belül a CA2 tábla 0630-as sorának értékét (FIX ÁLTALÁNOS KÖLTSÉGEKBŐL EREDŐ TOVÁBBI KOCKÁZATI KITETTSÉGÉRTÉK).</w:t>
            </w:r>
          </w:p>
        </w:tc>
      </w:tr>
      <w:tr w:rsidR="00173F08" w:rsidRPr="002A677E" w14:paraId="21616B84" w14:textId="77777777" w:rsidTr="00822842">
        <w:tc>
          <w:tcPr>
            <w:tcW w:w="1188" w:type="dxa"/>
          </w:tcPr>
          <w:p w14:paraId="0592590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5A6EE0BF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EGYÉB KOCKÁZATI KITETTSÉGÉRTÉKEK</w:t>
            </w:r>
          </w:p>
          <w:p w14:paraId="6AB0F2D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ebben az oszlopban feltüntetendő érték az előzőekben külön nem említett kitettségértékeket foglalja magában.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CA2 tábla 0640-es, 0680-as és 0690-es sorában megadott értékek összege.</w:t>
            </w:r>
          </w:p>
        </w:tc>
      </w:tr>
      <w:tr w:rsidR="00173F08" w:rsidRPr="002A677E" w14:paraId="1AA509B5" w14:textId="77777777" w:rsidTr="00822842">
        <w:tc>
          <w:tcPr>
            <w:tcW w:w="1188" w:type="dxa"/>
          </w:tcPr>
          <w:p w14:paraId="31666405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0120–0240</w:t>
            </w:r>
          </w:p>
        </w:tc>
        <w:tc>
          <w:tcPr>
            <w:tcW w:w="8640" w:type="dxa"/>
          </w:tcPr>
          <w:p w14:paraId="4017EF14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RÉSZLETES INFORMÁCIÓK A CSOPORTSZINTŰ SZAVATOLÓTŐKE-MEGFELELÉSRŐL</w:t>
            </w:r>
          </w:p>
          <w:p w14:paraId="713BB53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alábbi oszlopokban feltüntetett információk tükrözik azon tagállam helyi tőkemegfelelési szabályait, ahol a szervezet vagy alcsoport tevékenységi helye van.</w:t>
            </w:r>
          </w:p>
        </w:tc>
      </w:tr>
      <w:tr w:rsidR="00173F08" w:rsidRPr="002A677E" w14:paraId="5A140096" w14:textId="77777777" w:rsidTr="00822842">
        <w:tc>
          <w:tcPr>
            <w:tcW w:w="1188" w:type="dxa"/>
          </w:tcPr>
          <w:p w14:paraId="487213B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5B6BE8D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SZAVATOLÓTŐKE</w:t>
            </w:r>
          </w:p>
          <w:p w14:paraId="55D150C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ebben az oszlopban feltüntetendő érték a CA1 tábla 0010-es sorában (SZAVATOLÓTŐKE) megadott összeggel megegyező vagy egyenértékű szavatolótőke-összeg.</w:t>
            </w:r>
          </w:p>
        </w:tc>
      </w:tr>
      <w:tr w:rsidR="00173F08" w:rsidRPr="002A677E" w14:paraId="40713F8A" w14:textId="77777777" w:rsidTr="00822842">
        <w:tc>
          <w:tcPr>
            <w:tcW w:w="1188" w:type="dxa"/>
          </w:tcPr>
          <w:p w14:paraId="4C6759BA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33EA093E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SZAVATOLÓTŐKÉBE BESZÁMÍTHATÓ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4714CB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82. cikke.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999D7D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oszlop csak az egyedi adatszolgáltatás hatálya alá tartozó, teljes mértékben konszolidált intézményi leányvállalatok adatait tartalmazza.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1DFAEDAA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fenti leányvállalatok esetében befolyásoló részesedésnek minősülnek a vállalkozásokon kívüli és az 575/2013/EU rendelet szerinti konszolidáció körébe bevont személyek tulajdonában álló instrumentumok, valamint az ezekhez kapcsolódó eredménytartalékok, ázsió és egyéb tartalékok.</w:t>
            </w:r>
          </w:p>
          <w:p w14:paraId="3E7C450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feltüntetendő érték magában foglalja az átmeneti rendelkezések hatásait.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adatszolgáltatás időpontjában figyelembe vehető összeg.</w:t>
            </w:r>
          </w:p>
        </w:tc>
      </w:tr>
      <w:tr w:rsidR="00173F08" w:rsidRPr="002A677E" w14:paraId="6C60DC0C" w14:textId="77777777" w:rsidTr="00822842">
        <w:tc>
          <w:tcPr>
            <w:tcW w:w="1188" w:type="dxa"/>
          </w:tcPr>
          <w:p w14:paraId="539F5FB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640" w:type="dxa"/>
          </w:tcPr>
          <w:p w14:paraId="24287788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KAPCSOLÓDÓ SZAVATOLÓTŐKE-INSTRUMENTUMOK, KAPCSOLÓDÓ EREDMÉNYTARTALÉKOK, NÉVÉRTÉKEN FELÜLI BEFIZETÉSEK ÉS EGYÉB TARTALÉKOK</w:t>
            </w:r>
          </w:p>
          <w:p w14:paraId="3F7E53C7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87. cikke (1) bekezdésének b) pontja.</w:t>
            </w:r>
          </w:p>
        </w:tc>
      </w:tr>
      <w:tr w:rsidR="00173F08" w:rsidRPr="002A677E" w14:paraId="389DE242" w14:textId="77777777" w:rsidTr="00822842">
        <w:tc>
          <w:tcPr>
            <w:tcW w:w="1188" w:type="dxa"/>
          </w:tcPr>
          <w:p w14:paraId="5AE6A1A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640" w:type="dxa"/>
          </w:tcPr>
          <w:p w14:paraId="5CD3A5A2" w14:textId="77777777" w:rsidR="00173F08" w:rsidRPr="001235ED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T1 TŐKE ÖSSZESEN</w:t>
            </w:r>
          </w:p>
          <w:p w14:paraId="3E861344" w14:textId="77777777" w:rsidR="00173F08" w:rsidRPr="001235ED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25. cikke.</w:t>
            </w:r>
          </w:p>
        </w:tc>
      </w:tr>
      <w:tr w:rsidR="00173F08" w:rsidRPr="002A677E" w14:paraId="7471167E" w14:textId="77777777" w:rsidTr="00822842">
        <w:tc>
          <w:tcPr>
            <w:tcW w:w="1188" w:type="dxa"/>
          </w:tcPr>
          <w:p w14:paraId="1BFDCD8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640" w:type="dxa"/>
          </w:tcPr>
          <w:p w14:paraId="72C3705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T1 TŐKÉBE BESZÁMÍTHATÓ</w:t>
            </w:r>
          </w:p>
          <w:p w14:paraId="4EB8A1F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82. cikke.</w:t>
            </w:r>
          </w:p>
          <w:p w14:paraId="1C29CEE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oszlop csak az egyedi adatszolgáltatás hatálya alá tartozó, teljes mértékben konszolidált intézményi leányvállalatok adatait tartalmazza.</w:t>
            </w:r>
          </w:p>
          <w:p w14:paraId="0AF355C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fenti leányvállalatok esetében befolyásoló részesedésnek minősülnek az 575/2013/EU rendelet szerinti konszolidáció körébe bevont vállalkozásokon kívüli személyek tulajdonában álló instrumentumok, valamint az ezekhez kapcsolódó eredménytartalék és ázsió.</w:t>
            </w:r>
          </w:p>
          <w:p w14:paraId="342E6F5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feltüntetendő érték magában foglalja az átmeneti rendelkezések hatásait.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adatszolgáltatás időpontjában figyelembe vehető összeg.</w:t>
            </w:r>
          </w:p>
        </w:tc>
      </w:tr>
      <w:tr w:rsidR="00173F08" w:rsidRPr="002A677E" w14:paraId="4A7FFA9C" w14:textId="77777777" w:rsidTr="00822842">
        <w:tc>
          <w:tcPr>
            <w:tcW w:w="1188" w:type="dxa"/>
          </w:tcPr>
          <w:p w14:paraId="3178D61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640" w:type="dxa"/>
          </w:tcPr>
          <w:p w14:paraId="03B9DCA4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KAPCSOLÓDÓ T1 INSTRUMENTUMOK, KAPCSOLÓDÓ EREDMÉNYTARTALÉKOK ÉS NÉVÉRTÉKEN FELÜLI BEFIZETÉSEK</w:t>
            </w:r>
          </w:p>
          <w:p w14:paraId="0C524078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85. cikke (1) bekezdésének b) pontja.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03F84939" w14:textId="77777777" w:rsidTr="00822842">
        <w:tc>
          <w:tcPr>
            <w:tcW w:w="1188" w:type="dxa"/>
          </w:tcPr>
          <w:p w14:paraId="2ABE034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640" w:type="dxa"/>
          </w:tcPr>
          <w:p w14:paraId="56913F2B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ELSŐDLEGES ALAPVETŐ (CET1) TŐKE</w:t>
            </w:r>
          </w:p>
          <w:p w14:paraId="1D31362E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50. cikke.</w:t>
            </w:r>
          </w:p>
        </w:tc>
      </w:tr>
      <w:tr w:rsidR="00173F08" w:rsidRPr="002A677E" w14:paraId="0E2BA238" w14:textId="77777777" w:rsidTr="00822842">
        <w:tc>
          <w:tcPr>
            <w:tcW w:w="1188" w:type="dxa"/>
          </w:tcPr>
          <w:p w14:paraId="671DC04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640" w:type="dxa"/>
          </w:tcPr>
          <w:p w14:paraId="7B6598C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KISEBBSÉGI RÉSZESEDÉSEK</w:t>
            </w:r>
          </w:p>
          <w:p w14:paraId="03A35E0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81. cikke.</w:t>
            </w:r>
          </w:p>
          <w:p w14:paraId="2D5B8BC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oszlop kizárólag a teljeskörűen konszolidált intézményi leányvállalatok adatait tartalmazza, az 575/2013/EU rendelet 84. cikkének (3) bekezdésében említett leányvállalatok kivételével.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84. cikkében előírt valamennyi számítás szempontjából az egyes leányvállalatokat adott esetben a 84. cikk (2) bekezdésének megfelelően szubkonszolidált alapon, egyéb esetekben egyedi alapon kell figyelembe venni.</w:t>
            </w:r>
          </w:p>
          <w:p w14:paraId="2C0D816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fenti leányvállalatok esetében kisebbségi részesedésnek minősülnek az 575/2013/EU rendelet szerinti konszolidáció körébe bevont vállalkozásokon kívüli személyek tulajdonában álló CET1 tőkeinstrumentumok, valamint az ezekhez kapcsolódó eredménytartalékok és ázsió.</w:t>
            </w:r>
          </w:p>
          <w:p w14:paraId="1D2ACDF3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feltüntetendő érték magában foglalja az átmeneti rendelkezések hatásait.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adatszolgáltatás időpontjában figyelembe vehető összeg.</w:t>
            </w:r>
          </w:p>
        </w:tc>
      </w:tr>
      <w:tr w:rsidR="00173F08" w:rsidRPr="002A677E" w14:paraId="0252C0BA" w14:textId="77777777" w:rsidTr="00822842">
        <w:tc>
          <w:tcPr>
            <w:tcW w:w="1188" w:type="dxa"/>
          </w:tcPr>
          <w:p w14:paraId="3AFB0800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640" w:type="dxa"/>
          </w:tcPr>
          <w:p w14:paraId="4B6EB0AE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KAPCSOLÓDÓ SZAVATOLÓTŐKE-INSTRUMENTUMOK, KAPCSOLÓDÓ EREDMÉNYTARTALÉKOK, NÉVÉRTÉKEN FELÜLI BEFIZETÉSEK ÉS EGYÉB TARTALÉKOK</w:t>
            </w:r>
          </w:p>
          <w:p w14:paraId="707CE464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84. cikke (1) bekezdésének b) pontja.</w:t>
            </w:r>
          </w:p>
        </w:tc>
      </w:tr>
      <w:tr w:rsidR="00173F08" w:rsidRPr="002A677E" w14:paraId="79B83B2A" w14:textId="77777777" w:rsidTr="00822842">
        <w:tc>
          <w:tcPr>
            <w:tcW w:w="1188" w:type="dxa"/>
          </w:tcPr>
          <w:p w14:paraId="3BB83E5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640" w:type="dxa"/>
          </w:tcPr>
          <w:p w14:paraId="263D68BB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KIEGÉSZÍTŐ ALAPVETŐ (AT1) TŐKE</w:t>
            </w:r>
          </w:p>
          <w:p w14:paraId="1CE78A7A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61. cikke.</w:t>
            </w:r>
          </w:p>
        </w:tc>
      </w:tr>
      <w:tr w:rsidR="00173F08" w:rsidRPr="002A677E" w14:paraId="3A09E2CF" w14:textId="77777777" w:rsidTr="00822842">
        <w:tc>
          <w:tcPr>
            <w:tcW w:w="1188" w:type="dxa"/>
          </w:tcPr>
          <w:p w14:paraId="2BC2BA1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640" w:type="dxa"/>
          </w:tcPr>
          <w:p w14:paraId="6869B355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AT1 TŐKÉBE BESZÁMÍTHATÓ</w:t>
            </w:r>
          </w:p>
          <w:p w14:paraId="3A11BFD0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82. és 83. cikke</w:t>
            </w:r>
          </w:p>
          <w:p w14:paraId="55F852A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oszlop kizárólag a teljeskörűen konszolidált intézményi leányvállalatok adatait tartalmazza, az 575/2013/EU rendelet 85. cikkének (2) bekezdésében említett leányvállalatok kivételével.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85. cikkében előírt valamennyi számítás szempontjából az egyes leányvállalatokat adott esetben a 85. cikk (2) bekezdésének megfelelően szubkonszolidált alapon, egyéb esetekben egyedi alapon kell figyelembe venni.</w:t>
            </w:r>
          </w:p>
          <w:p w14:paraId="32886E9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fenti leányvállalatok esetében kisebbségi részesedésnek minősülnek az 575/2013/EU rendelet szerinti konszolidáció körébe bevont vállalkozásokon kívüli személyek tulajdonában álló AT1 tőkeinstrumentumok, valamint az ezekhez kapcsolódó eredménytartalékok és ázsió.</w:t>
            </w:r>
          </w:p>
          <w:p w14:paraId="37079C74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feltüntetendő érték magában foglalja az átmeneti rendelkezések hatásait.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adatszolgáltatás időpontjában figyelembe vehető összeg.</w:t>
            </w:r>
          </w:p>
        </w:tc>
      </w:tr>
      <w:tr w:rsidR="00173F08" w:rsidRPr="002A677E" w14:paraId="3A46A33B" w14:textId="77777777" w:rsidTr="00822842">
        <w:tc>
          <w:tcPr>
            <w:tcW w:w="1188" w:type="dxa"/>
          </w:tcPr>
          <w:p w14:paraId="284F02C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640" w:type="dxa"/>
          </w:tcPr>
          <w:p w14:paraId="7A2A757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T2 TŐKE</w:t>
            </w:r>
          </w:p>
          <w:p w14:paraId="49EA3D83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71. cikke.</w:t>
            </w:r>
          </w:p>
        </w:tc>
      </w:tr>
      <w:tr w:rsidR="00173F08" w:rsidRPr="002A677E" w14:paraId="127ECDAA" w14:textId="77777777" w:rsidTr="00822842">
        <w:tc>
          <w:tcPr>
            <w:tcW w:w="1188" w:type="dxa"/>
          </w:tcPr>
          <w:p w14:paraId="42F0E3B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640" w:type="dxa"/>
          </w:tcPr>
          <w:p w14:paraId="2E5C3EFE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T2 TŐKÉBE BESZÁMÍTHATÓ</w:t>
            </w:r>
          </w:p>
          <w:p w14:paraId="23E95E8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82. és 83. cikke</w:t>
            </w:r>
          </w:p>
          <w:p w14:paraId="4ADB589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oszlop kizárólag a teljeskörűen konszolidált intézményi leányvállalatok adatait tartalmazza, az 575/2013/EU rendelet 87. cikkének (2) bekezdésében említett leányvállalatok kivételével.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87. cikkében előírt valamennyi számítás szempontjából az egyes leányvállalatokat adott esetben az említett rendelet 87. cikke (2) bekezdésének megfelelően szubkonszolidált alapon, egyéb esetekben egyedi alapon kell figyelembe venni.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5BE2C85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fenti leányvállalatok esetében kisebbségi részesedésnek minősülnek az 575/2013/EU rendelet szerinti konszolidáció körébe bevont vállalkozásokon kívüli személyek tulajdonában álló T2 tőkeinstrumentumok, valamint az ezekhez kapcsolódó eredménytartalékok és ázsió.</w:t>
            </w:r>
          </w:p>
          <w:p w14:paraId="262C7485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feltüntetendő érték magában foglalja az átmeneti rendelkezések hatásait.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adatszolgáltatás vonatkozási időpontjában figyelembe vehető összeg.</w:t>
            </w:r>
          </w:p>
        </w:tc>
      </w:tr>
      <w:tr w:rsidR="00173F08" w:rsidRPr="002A677E" w14:paraId="21CB95DC" w14:textId="77777777" w:rsidTr="00822842">
        <w:tc>
          <w:tcPr>
            <w:tcW w:w="1188" w:type="dxa"/>
          </w:tcPr>
          <w:p w14:paraId="25A4A0D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0250–0400</w:t>
            </w:r>
          </w:p>
        </w:tc>
        <w:tc>
          <w:tcPr>
            <w:tcW w:w="8640" w:type="dxa"/>
          </w:tcPr>
          <w:p w14:paraId="37BB26C8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EGYES SZERVEZETEKNEK A CSOPORTSZINTŰ SZAVATOLÓTŐKE-MEGFELELÉSHEZ VALÓ HOZZÁJÁRULÁSÁVAL KAPCSOLATOS INFORMÁCIÓK</w:t>
            </w:r>
          </w:p>
        </w:tc>
      </w:tr>
      <w:tr w:rsidR="00173F08" w:rsidRPr="002A677E" w14:paraId="2F4DF8FC" w14:textId="77777777" w:rsidTr="00822842">
        <w:tc>
          <w:tcPr>
            <w:tcW w:w="1188" w:type="dxa"/>
          </w:tcPr>
          <w:p w14:paraId="1A40CC2D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0250–0290</w:t>
            </w:r>
          </w:p>
        </w:tc>
        <w:tc>
          <w:tcPr>
            <w:tcW w:w="8640" w:type="dxa"/>
          </w:tcPr>
          <w:p w14:paraId="42E5971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KOCKÁZATI HOZZÁJÁRULÁS</w:t>
            </w:r>
          </w:p>
          <w:p w14:paraId="7CE3194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alábbi oszlopokban feltüntetett információkat az adatot szolgáltató intézményre vonatkozó tőkemegfelelési szabályok alapján kell megadni.</w:t>
            </w:r>
          </w:p>
        </w:tc>
      </w:tr>
      <w:tr w:rsidR="00173F08" w:rsidRPr="002A677E" w14:paraId="2B71B535" w14:textId="77777777" w:rsidTr="00822842">
        <w:tc>
          <w:tcPr>
            <w:tcW w:w="1188" w:type="dxa"/>
          </w:tcPr>
          <w:p w14:paraId="5D55B1F0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640" w:type="dxa"/>
          </w:tcPr>
          <w:p w14:paraId="3B982E96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TELJES KOCKÁZATI KITETTSÉGÉRTÉK</w:t>
            </w:r>
          </w:p>
          <w:p w14:paraId="584007A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0260–0290-es oszlopok összegét kell megadni.</w:t>
            </w:r>
          </w:p>
        </w:tc>
      </w:tr>
      <w:tr w:rsidR="00173F08" w:rsidRPr="002A677E" w14:paraId="04A08911" w14:textId="77777777" w:rsidTr="00822842">
        <w:tc>
          <w:tcPr>
            <w:tcW w:w="1188" w:type="dxa"/>
          </w:tcPr>
          <w:p w14:paraId="4441868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640" w:type="dxa"/>
          </w:tcPr>
          <w:p w14:paraId="20D38FF7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HITELKOCKÁZAT;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PARTNERKOCKÁZAT;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FELHÍGULÁSI KOCKÁZAT, NYITVA SZÁLLÍTÁSOK, KIEGYENLÍTÉSI/TELJESÍTÉSI KOCKÁZAT</w:t>
            </w:r>
          </w:p>
          <w:p w14:paraId="6F46A7C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feltüntetendő érték a kockázattal súlyozott hitelkockázati kitettségérték, valamint a kiegyenlítési/teljesítési kockázatra vonatkozó, az 575/2013/EU rendelet szerinti szavatolótőke-követelmények összege, a más szervezetekkel bonyolított ügyletekhez kapcsolódó, a csoportszintű konszolidált tőkemegfelelési mutató kiszámításakor figyelembe vett összegek nélkül.</w:t>
            </w:r>
          </w:p>
        </w:tc>
      </w:tr>
      <w:tr w:rsidR="00173F08" w:rsidRPr="002A677E" w14:paraId="659CB778" w14:textId="77777777" w:rsidTr="00822842">
        <w:tc>
          <w:tcPr>
            <w:tcW w:w="1188" w:type="dxa"/>
          </w:tcPr>
          <w:p w14:paraId="1DB7152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640" w:type="dxa"/>
          </w:tcPr>
          <w:p w14:paraId="13B2AFE4" w14:textId="4AF0329D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PIACI KOCKÁZATOK</w:t>
            </w:r>
          </w:p>
          <w:p w14:paraId="49127EF1" w14:textId="157C9035" w:rsidR="00173F08" w:rsidRPr="001235ED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piaci kockázatra vonatkozó kockázati kitettségértékeket az egyes szervezetek szintjén az 575/2013/EU rendelet szerint kell kiszámítani.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 szervezeteknek a piaci kockázat csoportszintű teljes kockázati kitettségértékéhez való hozzájárulásukat kell megadniuk.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itt feltüntetendő összesített érték megegyezik a konszolidált jelentés 0520-as sorában (A PIACI KOCKÁZATNAK KITETT ÜZLETI TEVÉKENYSÉG TELJES KOCKÁZATI KITETTSÉGÉRTÉKE) megadott összeggel.</w:t>
            </w:r>
          </w:p>
        </w:tc>
      </w:tr>
      <w:tr w:rsidR="00173F08" w:rsidRPr="002A677E" w14:paraId="50F614F9" w14:textId="77777777" w:rsidTr="00822842">
        <w:tc>
          <w:tcPr>
            <w:tcW w:w="1188" w:type="dxa"/>
          </w:tcPr>
          <w:p w14:paraId="4837613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8640" w:type="dxa"/>
          </w:tcPr>
          <w:p w14:paraId="0F996708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MŰKÖDÉSI KOCKÁZAT</w:t>
            </w:r>
          </w:p>
          <w:p w14:paraId="58C1AE53" w14:textId="2055313A" w:rsidR="00702B2E" w:rsidRPr="00702B2E" w:rsidRDefault="00702B2E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ebben az oszlopban feltüntetendő érték a működési kockázat kitettségértékét foglalja magában.</w:t>
            </w:r>
          </w:p>
          <w:p w14:paraId="585BB330" w14:textId="03A1297F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fix általános költségeket ebben az oszlopban kell feltüntetni.</w:t>
            </w:r>
          </w:p>
        </w:tc>
      </w:tr>
      <w:tr w:rsidR="00173F08" w:rsidRPr="002A677E" w14:paraId="3D9214F2" w14:textId="77777777" w:rsidTr="00822842">
        <w:tc>
          <w:tcPr>
            <w:tcW w:w="1188" w:type="dxa"/>
          </w:tcPr>
          <w:p w14:paraId="0B8F7AD0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8640" w:type="dxa"/>
          </w:tcPr>
          <w:p w14:paraId="1A6735B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EGYÉB KOCKÁZATI KITETTSÉGÉRTÉKEK</w:t>
            </w:r>
          </w:p>
          <w:p w14:paraId="0483564A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ebben az oszlopban feltüntetendő érték a fentiekben felsoroltaktól eltérő kockázatokhoz kapcsolódó kitettségértékeket foglalja magában.</w:t>
            </w:r>
          </w:p>
        </w:tc>
      </w:tr>
      <w:tr w:rsidR="00173F08" w:rsidRPr="002A677E" w14:paraId="120F25EE" w14:textId="77777777" w:rsidTr="00822842">
        <w:tc>
          <w:tcPr>
            <w:tcW w:w="1188" w:type="dxa"/>
          </w:tcPr>
          <w:p w14:paraId="283A6D5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0300–0400</w:t>
            </w:r>
          </w:p>
        </w:tc>
        <w:tc>
          <w:tcPr>
            <w:tcW w:w="8640" w:type="dxa"/>
          </w:tcPr>
          <w:p w14:paraId="648286B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HOZZÁJÁRULÁS A SZAVATOLÓTŐKÉHEZ</w:t>
            </w:r>
          </w:p>
          <w:p w14:paraId="7E77E775" w14:textId="77777777" w:rsidR="00173F08" w:rsidRPr="001235ED" w:rsidRDefault="00173F08" w:rsidP="00822842">
            <w:pPr>
              <w:pStyle w:val="Texte2"/>
              <w:ind w:left="0"/>
              <w:rPr>
                <w:rStyle w:val="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tábla e része nem írja elő az intézmények számára, hogy az egyes szervezetek szintjén teljeskörűen kiszámítsák a teljestőke-megfelelési mutatót.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58F77BCC" w14:textId="77777777" w:rsidR="00173F08" w:rsidRPr="002A677E" w:rsidRDefault="00173F08" w:rsidP="00822842">
            <w:pPr>
              <w:pStyle w:val="Texte2"/>
              <w:ind w:left="0"/>
              <w:rPr>
                <w:rStyle w:val="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0300–0350-es oszlopot azon konszolidált szervezetek esetében kell kitölteni, amelyek a szavatolótőkéhez kisebbségi részesedéssel, a T1 tőkébe beszámítható vagy a szavatolótőkébe beszámítható tőkével járulnak hozzá.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II. rész 2.3. fejezetének utolsó bekezdésében említett küszöbérték függvényében a 0360–0400-as oszlopot minden olyan konszolidált szervezetre vonatkozóan ki kell tölteni, amely hozzájárul a konszolidált szavatolótőkéhez.</w:t>
            </w:r>
          </w:p>
          <w:p w14:paraId="29552A89" w14:textId="77777777" w:rsidR="00173F08" w:rsidRPr="002A677E" w:rsidRDefault="00173F08" w:rsidP="00822842">
            <w:pPr>
              <w:pStyle w:val="Texte2"/>
              <w:ind w:left="0"/>
              <w:rPr>
                <w:rStyle w:val="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Egy szervezet számára az adatszolgáltató intézmény körébe vont egyéb szervezetek által biztosított szavatolótőke nem vehető figyelembe; az oszlopban kizárólag a csoport szavatolótőkéjéhez való nettó hozzájárulás, főként a harmadik felektől és a felhalmozott tartalékokból származó szavatolótőke adható meg.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34D930D" w14:textId="77777777" w:rsidR="00173F08" w:rsidRPr="002A677E" w:rsidRDefault="00173F08" w:rsidP="00822842">
            <w:pPr>
              <w:pStyle w:val="Texte2"/>
              <w:spacing w:after="120"/>
              <w:ind w:left="0"/>
              <w:rPr>
                <w:rStyle w:val="InstructionsTabelleberschrift"/>
                <w:b w:val="0"/>
                <w:bCs w:val="0"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alábbi oszlopokban feltüntetett információkat az adatot szolgáltató intézményre vonatkozó tőkemegfelelési szabályok alapján kell megadni.</w:t>
            </w:r>
          </w:p>
        </w:tc>
      </w:tr>
      <w:tr w:rsidR="00173F08" w:rsidRPr="002A677E" w14:paraId="00233A1B" w14:textId="77777777" w:rsidTr="00822842">
        <w:tc>
          <w:tcPr>
            <w:tcW w:w="1188" w:type="dxa"/>
          </w:tcPr>
          <w:p w14:paraId="6A2EC485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0300–0350</w:t>
            </w:r>
          </w:p>
        </w:tc>
        <w:tc>
          <w:tcPr>
            <w:tcW w:w="8640" w:type="dxa"/>
          </w:tcPr>
          <w:p w14:paraId="1F3610D7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SZAVATOLÓTŐKE RÉSZÉT KÉPEZŐ, A SZAVATOLÓTŐKÉBE BESZÁMÍTHATÓ TŐKE</w:t>
            </w:r>
          </w:p>
          <w:p w14:paraId="7830B88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„KONSZOLIDÁLT SZAVATOLÓTŐKE RÉSZÉT KÉPEZŐ, A SZAVATOLÓTŐKÉBE BESZÁMÍTHATÓ TŐKE” alatt feltüntetendő érték az 575/2013/EU rendelet második részének II. címéből származó összeg, a csoport más szervezetei által rendelkezésre bocsátott források nélkül.</w:t>
            </w:r>
          </w:p>
        </w:tc>
      </w:tr>
      <w:tr w:rsidR="00173F08" w:rsidRPr="002A677E" w14:paraId="2D948A28" w14:textId="77777777" w:rsidTr="00822842">
        <w:tc>
          <w:tcPr>
            <w:tcW w:w="1188" w:type="dxa"/>
          </w:tcPr>
          <w:p w14:paraId="6278E06B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8640" w:type="dxa"/>
          </w:tcPr>
          <w:p w14:paraId="52465511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SZAVATOLÓTŐKE RÉSZÉT KÉPEZŐ, A SZAVATOLÓTŐKÉBE BESZÁMÍTHATÓ TŐKE</w:t>
            </w:r>
          </w:p>
          <w:p w14:paraId="6F3A607D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87. cikke.</w:t>
            </w:r>
          </w:p>
        </w:tc>
      </w:tr>
      <w:tr w:rsidR="00173F08" w:rsidRPr="002A677E" w14:paraId="1998204E" w14:textId="77777777" w:rsidTr="00822842">
        <w:tc>
          <w:tcPr>
            <w:tcW w:w="1188" w:type="dxa"/>
          </w:tcPr>
          <w:p w14:paraId="3684E5F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8640" w:type="dxa"/>
          </w:tcPr>
          <w:p w14:paraId="2378035D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T1 TŐKE RÉSZÉT KÉPEZŐ, A T1 TŐKÉBE BESZÁMÍTHATÓ INSTRUMENTUMOK</w:t>
            </w:r>
          </w:p>
          <w:p w14:paraId="4E25C23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85. cikke.</w:t>
            </w:r>
          </w:p>
        </w:tc>
      </w:tr>
      <w:tr w:rsidR="00173F08" w:rsidRPr="002A677E" w14:paraId="70CC0CF1" w14:textId="77777777" w:rsidTr="00822842">
        <w:tc>
          <w:tcPr>
            <w:tcW w:w="1188" w:type="dxa"/>
          </w:tcPr>
          <w:p w14:paraId="7C1C1AE3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0320</w:t>
            </w:r>
          </w:p>
        </w:tc>
        <w:tc>
          <w:tcPr>
            <w:tcW w:w="8640" w:type="dxa"/>
          </w:tcPr>
          <w:p w14:paraId="5D406C6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CET1 TŐKE RÉSZÉT KÉPEZŐ KISEBBSÉGI RÉSZESEDÉSEK</w:t>
            </w:r>
          </w:p>
          <w:p w14:paraId="0B8B81AA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84. cikke.</w:t>
            </w:r>
          </w:p>
          <w:p w14:paraId="01FA0CDC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feltüntetendő érték a leányvállalat kisebbségi részesedésének az 575/2013/EU rendelet szerint a konszolidált CET1 tőkébe beszámított összege.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72674BB4" w14:textId="77777777" w:rsidTr="00822842">
        <w:tc>
          <w:tcPr>
            <w:tcW w:w="1188" w:type="dxa"/>
          </w:tcPr>
          <w:p w14:paraId="5F195C2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0330</w:t>
            </w:r>
          </w:p>
        </w:tc>
        <w:tc>
          <w:tcPr>
            <w:tcW w:w="8640" w:type="dxa"/>
          </w:tcPr>
          <w:p w14:paraId="6AF15CF2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AT1 TŐKE RÉSZÉT KÉPEZŐ, A T1 TŐKÉBE BESZÁMÍTHATÓ INSTRUMENTUMOK</w:t>
            </w:r>
          </w:p>
          <w:p w14:paraId="488797C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86. cikke.</w:t>
            </w:r>
          </w:p>
          <w:p w14:paraId="14D60AC1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feltüntetendő érték a leányvállalat T1 tőkébe beszámítható tőkéjének az 575/2013/EU rendelet szerint a konszolidált AT1 tőkébe beszámított összege.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26437422" w14:textId="77777777" w:rsidTr="00822842">
        <w:tc>
          <w:tcPr>
            <w:tcW w:w="1188" w:type="dxa"/>
          </w:tcPr>
          <w:p w14:paraId="7FD01E11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</w:t>
            </w:r>
          </w:p>
        </w:tc>
        <w:tc>
          <w:tcPr>
            <w:tcW w:w="8640" w:type="dxa"/>
          </w:tcPr>
          <w:p w14:paraId="6E1E5EBF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KONSZOLIDÁLT T2 TŐKE RÉSZÉT KÉPEZŐ, A SZAVATOLÓTŐKÉBE BESZÁMÍTHATÓ INSTRUMENTUMOK</w:t>
            </w:r>
          </w:p>
          <w:p w14:paraId="1E25A6DF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88. cikke.</w:t>
            </w:r>
          </w:p>
          <w:p w14:paraId="257F78A1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feltüntetendő érték a leányvállalat szavatolótőkébe beszámítható tőkéjének az 575/2013/EU rendelet szerint a konszolidált T2 tőkébe beszámított összege.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173F08" w:rsidRPr="002A677E" w14:paraId="39EA7587" w14:textId="77777777" w:rsidTr="00822842">
        <w:tc>
          <w:tcPr>
            <w:tcW w:w="1188" w:type="dxa"/>
          </w:tcPr>
          <w:p w14:paraId="04CB064F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8640" w:type="dxa"/>
          </w:tcPr>
          <w:p w14:paraId="7BBDC2E3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TÁJÉKOZTATÓ ADAT: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CÉGÉRTÉK / (+) NEGATÍV CÉGÉRTÉK</w:t>
            </w:r>
          </w:p>
        </w:tc>
      </w:tr>
      <w:tr w:rsidR="00173F08" w:rsidRPr="002A677E" w14:paraId="3997C23F" w14:textId="77777777" w:rsidTr="00822842">
        <w:tc>
          <w:tcPr>
            <w:tcW w:w="1188" w:type="dxa"/>
          </w:tcPr>
          <w:p w14:paraId="72AB87A5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0360–0400</w:t>
            </w:r>
          </w:p>
        </w:tc>
        <w:tc>
          <w:tcPr>
            <w:tcW w:w="8640" w:type="dxa"/>
          </w:tcPr>
          <w:p w14:paraId="397FA959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KONSZOLIDÁLT SZAVATOLÓTŐKE</w:t>
            </w:r>
          </w:p>
          <w:p w14:paraId="71907E1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18. cikke.</w:t>
            </w:r>
          </w:p>
          <w:p w14:paraId="4F42327D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„KONSZOLIDÁLT SZAVATOLÓTŐKE” alatt feltüntetendő érték a mérlegből származó összeg, a csoport más szervezetei által rendelkezésre bocsátott források nélkül.</w:t>
            </w:r>
          </w:p>
        </w:tc>
      </w:tr>
      <w:tr w:rsidR="00173F08" w:rsidRPr="002A677E" w14:paraId="293A7FF6" w14:textId="77777777" w:rsidTr="00822842">
        <w:tc>
          <w:tcPr>
            <w:tcW w:w="1188" w:type="dxa"/>
          </w:tcPr>
          <w:p w14:paraId="0E03C6C1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</w:t>
            </w:r>
          </w:p>
        </w:tc>
        <w:tc>
          <w:tcPr>
            <w:tcW w:w="8640" w:type="dxa"/>
          </w:tcPr>
          <w:p w14:paraId="41EC81C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KONSZOLIDÁLT SZAVATOLÓTŐKE</w:t>
            </w:r>
          </w:p>
        </w:tc>
      </w:tr>
      <w:tr w:rsidR="00173F08" w:rsidRPr="002A677E" w14:paraId="2E86BBAD" w14:textId="77777777" w:rsidTr="00822842">
        <w:tc>
          <w:tcPr>
            <w:tcW w:w="1188" w:type="dxa"/>
          </w:tcPr>
          <w:p w14:paraId="444BD8B5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8640" w:type="dxa"/>
          </w:tcPr>
          <w:p w14:paraId="2CC57784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CET1 TŐKE</w:t>
            </w:r>
          </w:p>
        </w:tc>
      </w:tr>
      <w:tr w:rsidR="00173F08" w:rsidRPr="002A677E" w14:paraId="68DCA9F1" w14:textId="77777777" w:rsidTr="00822842">
        <w:tc>
          <w:tcPr>
            <w:tcW w:w="1188" w:type="dxa"/>
          </w:tcPr>
          <w:p w14:paraId="01DAA296" w14:textId="77777777" w:rsidR="00173F08" w:rsidRPr="002A677E" w:rsidDel="0081176B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8640" w:type="dxa"/>
          </w:tcPr>
          <w:p w14:paraId="3B9BF397" w14:textId="77777777" w:rsidR="00173F08" w:rsidRPr="002A677E" w:rsidDel="0081176B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AT1 TŐKE</w:t>
            </w:r>
          </w:p>
        </w:tc>
      </w:tr>
      <w:tr w:rsidR="00173F08" w:rsidRPr="002A677E" w14:paraId="0D196D2B" w14:textId="77777777" w:rsidTr="00822842">
        <w:tc>
          <w:tcPr>
            <w:tcW w:w="1188" w:type="dxa"/>
          </w:tcPr>
          <w:p w14:paraId="74707B55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0390</w:t>
            </w:r>
          </w:p>
        </w:tc>
        <w:tc>
          <w:tcPr>
            <w:tcW w:w="8640" w:type="dxa"/>
          </w:tcPr>
          <w:p w14:paraId="1A38649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HOZZÁJÁRULÁS A KONSZOLIDÁLT EREDMÉNYHEZ</w:t>
            </w:r>
          </w:p>
          <w:p w14:paraId="0077C05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Itt az egyes szervezeteknek a konszolidált eredményhez való hozzájárulását (nyereség vagy (–) veszteség) kell feltüntetni.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Ez magában foglalja a kisebbségi részesedéseknek tulajdonítható eredményt is.</w:t>
            </w:r>
          </w:p>
        </w:tc>
      </w:tr>
      <w:tr w:rsidR="00173F08" w:rsidRPr="002A677E" w14:paraId="499357F9" w14:textId="77777777" w:rsidTr="00822842">
        <w:tc>
          <w:tcPr>
            <w:tcW w:w="1188" w:type="dxa"/>
          </w:tcPr>
          <w:p w14:paraId="237DD5A1" w14:textId="77777777" w:rsidR="00173F08" w:rsidRPr="002A677E" w:rsidRDefault="00173F0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0400</w:t>
            </w:r>
          </w:p>
        </w:tc>
        <w:tc>
          <w:tcPr>
            <w:tcW w:w="8640" w:type="dxa"/>
          </w:tcPr>
          <w:p w14:paraId="2D7939A6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CÉGÉRTÉK / (+) NEGATÍV CÉGÉRTÉK</w:t>
            </w:r>
          </w:p>
          <w:p w14:paraId="1EA56152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Itt az adatszolgáltató intézménynek a leányvállalatban meglévő cégértékét vagy negatív cégértékét kell feltüntetni.</w:t>
            </w:r>
          </w:p>
        </w:tc>
      </w:tr>
      <w:tr w:rsidR="00173F08" w:rsidRPr="002A677E" w14:paraId="33B902F7" w14:textId="77777777" w:rsidTr="00822842">
        <w:tc>
          <w:tcPr>
            <w:tcW w:w="1188" w:type="dxa"/>
          </w:tcPr>
          <w:p w14:paraId="34A2D119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0410–0480</w:t>
            </w:r>
          </w:p>
        </w:tc>
        <w:tc>
          <w:tcPr>
            <w:tcW w:w="8640" w:type="dxa"/>
          </w:tcPr>
          <w:p w14:paraId="653C81F3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TŐKEPUFFEREK</w:t>
            </w:r>
          </w:p>
          <w:p w14:paraId="5D522742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A GS táblában a tőkepufferekkel kapcsolatos adatszolgáltatás szerkezete a CA4 tábla általános felépítését követi, és azzal azonos adatszolgáltatási fogalmakat alkalmaz.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A GS táblában a tőkepufferekkel kapcsolatos adatszolgáltatás során a megfelelő összegeket a csoport konszolidált helyzetére vonatkozó pufferkövetelmény meghatározására alkalmazandó rendelkezéseknek megfelelően kell feltüntetni.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Ezért a tőkepufferek feltüntetett összegei az egyes szervezeteknek a csoportszintű tőkepufferekhez való hozzájárulását jelentik.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feltüntetett összegek a 2013/36/EU irányelvet átültető nemzeti intézkedéseken és az 575/2013/EU rendeleten alapulnak, beleértve minden azokban foglalt átmeneti rendelkezést is.</w:t>
            </w:r>
          </w:p>
        </w:tc>
      </w:tr>
      <w:tr w:rsidR="00173F08" w:rsidRPr="002A677E" w14:paraId="63DC141B" w14:textId="77777777" w:rsidTr="00822842">
        <w:tc>
          <w:tcPr>
            <w:tcW w:w="1188" w:type="dxa"/>
          </w:tcPr>
          <w:p w14:paraId="5BB39E7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0410</w:t>
            </w:r>
          </w:p>
        </w:tc>
        <w:tc>
          <w:tcPr>
            <w:tcW w:w="8640" w:type="dxa"/>
          </w:tcPr>
          <w:p w14:paraId="14D301D1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KOMBINÁLT PUFFERKÖVETELMÉNY</w:t>
            </w:r>
          </w:p>
          <w:p w14:paraId="7DF96672" w14:textId="77777777" w:rsidR="00173F08" w:rsidRPr="002A677E" w:rsidRDefault="00173F08" w:rsidP="00822842">
            <w:pPr>
              <w:tabs>
                <w:tab w:val="left" w:pos="3510"/>
              </w:tabs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128. cikkének 6. pontja.</w:t>
            </w:r>
          </w:p>
        </w:tc>
      </w:tr>
      <w:tr w:rsidR="00173F08" w:rsidRPr="002A677E" w14:paraId="4304DCA5" w14:textId="77777777" w:rsidTr="00822842">
        <w:tc>
          <w:tcPr>
            <w:tcW w:w="1188" w:type="dxa"/>
          </w:tcPr>
          <w:p w14:paraId="0CFC30D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8640" w:type="dxa"/>
          </w:tcPr>
          <w:p w14:paraId="41EA8A90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TŐKEFENNTARTÁSI PUFFER</w:t>
            </w:r>
          </w:p>
          <w:p w14:paraId="5DD283B6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128. cikkének 1. pontja és 129. cikke.</w:t>
            </w:r>
          </w:p>
          <w:p w14:paraId="7013CF4E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t xml:space="preserve">A 2013/36/EU irányelv 129. cikkének (1) bekezdése szerint a tőkefenntartási puffer CET1 tőkén felüli CET1 tőkeelemekből áll.</w:t>
            </w:r>
            <w:r>
              <w:t xml:space="preserve"> </w:t>
            </w:r>
            <w:r>
              <w:t xml:space="preserve">Mivel a tőkefenntartási puffer 2,5 %-os mértéke állandó, ebben a cellában összeget kell feltüntetni.</w:t>
            </w:r>
          </w:p>
        </w:tc>
      </w:tr>
      <w:tr w:rsidR="00173F08" w:rsidRPr="002A677E" w14:paraId="33A8BFBD" w14:textId="77777777" w:rsidTr="00822842">
        <w:tc>
          <w:tcPr>
            <w:tcW w:w="1188" w:type="dxa"/>
          </w:tcPr>
          <w:p w14:paraId="2C9182C7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8640" w:type="dxa"/>
          </w:tcPr>
          <w:p w14:paraId="6552E827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INTÉZMÉNYSPECIFIKUS ANTICIKLIKUS TŐKEPUFFER</w:t>
            </w:r>
          </w:p>
          <w:p w14:paraId="38A11488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128. cikkének 2. pontja, 130. cikke, valamint 135–140. cikke.</w:t>
            </w:r>
          </w:p>
          <w:p w14:paraId="169D829F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t xml:space="preserve">Ebben a cellában az anticiklikus puffer konkrét összegét kell megadni.</w:t>
            </w:r>
          </w:p>
        </w:tc>
      </w:tr>
      <w:tr w:rsidR="00173F08" w:rsidRPr="002A677E" w14:paraId="393ED63D" w14:textId="77777777" w:rsidTr="00822842">
        <w:tc>
          <w:tcPr>
            <w:tcW w:w="1188" w:type="dxa"/>
          </w:tcPr>
          <w:p w14:paraId="6BD0956B" w14:textId="77777777" w:rsidR="00173F08" w:rsidRPr="002A677E" w:rsidDel="00D70027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0440</w:t>
            </w:r>
          </w:p>
        </w:tc>
        <w:tc>
          <w:tcPr>
            <w:tcW w:w="8640" w:type="dxa"/>
          </w:tcPr>
          <w:p w14:paraId="3C0108F5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TAGÁLLAMOK SZINTJÉN AZONOSÍTOTT MAKROPRUDENCIÁLIS VAGY RENDSZERKOCKÁZATOKRA KÉPZETT FENNTARTÁSI PUFFER</w:t>
            </w:r>
          </w:p>
          <w:p w14:paraId="0EC165D1" w14:textId="77777777" w:rsidR="00173F08" w:rsidRPr="002A677E" w:rsidRDefault="00173F08" w:rsidP="00822842">
            <w:pPr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458. cikke (2) bekezdése d) pontjának iv. alpontja.</w:t>
            </w:r>
          </w:p>
          <w:p w14:paraId="2C6BA8FE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Ebben a cellában a tagállamok szintjén azonosított makroprudenciális vagy rendszerkockázatokra képzett fenntartási puffer értékét kell feltüntetni, amely az 575/2013/EU rendelet 458. cikkével összhangban a tőkefenntartási pufferen felül kérhető.</w:t>
            </w:r>
          </w:p>
        </w:tc>
      </w:tr>
      <w:tr w:rsidR="00173F08" w:rsidRPr="002A677E" w14:paraId="4E8C2CA8" w14:textId="77777777" w:rsidTr="00822842">
        <w:tc>
          <w:tcPr>
            <w:tcW w:w="1188" w:type="dxa"/>
          </w:tcPr>
          <w:p w14:paraId="3AADC451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8640" w:type="dxa"/>
          </w:tcPr>
          <w:p w14:paraId="37512F51" w14:textId="77777777" w:rsidR="00173F08" w:rsidRPr="002A677E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RENDSZERKOCKÁZATI TŐKEPUFFER</w:t>
            </w:r>
          </w:p>
          <w:p w14:paraId="409112BD" w14:textId="77777777" w:rsidR="00173F08" w:rsidRPr="002A677E" w:rsidRDefault="00173F08" w:rsidP="00822842">
            <w:pPr>
              <w:pStyle w:val="InstructionsText"/>
            </w:pPr>
            <w:r>
              <w:t xml:space="preserve">A 2013/36/EU irányelv 128. cikkének 5. pontja, 133. és 134. cikke.</w:t>
            </w:r>
            <w:r>
              <w:t xml:space="preserve"> </w:t>
            </w:r>
          </w:p>
          <w:p w14:paraId="1888AE1C" w14:textId="77777777" w:rsidR="00173F08" w:rsidRPr="001235ED" w:rsidRDefault="00173F08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Ebben a cellában a rendszerkockázati tőkepuffer összegét kell feltüntetni.</w:t>
            </w:r>
          </w:p>
        </w:tc>
      </w:tr>
      <w:tr w:rsidR="00173F08" w:rsidRPr="002A677E" w14:paraId="1CE0C973" w14:textId="77777777" w:rsidTr="00822842">
        <w:tc>
          <w:tcPr>
            <w:tcW w:w="1188" w:type="dxa"/>
          </w:tcPr>
          <w:p w14:paraId="729A039E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8640" w:type="dxa"/>
          </w:tcPr>
          <w:p w14:paraId="1989B565" w14:textId="77777777" w:rsidR="00173F08" w:rsidRPr="002A677E" w:rsidRDefault="00173F08" w:rsidP="00822842">
            <w:pPr>
              <w:tabs>
                <w:tab w:val="left" w:pos="6660"/>
              </w:tabs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GLOBÁLISAN RENDSZERSZINTEN JELENTŐS INTÉZMÉNYEKRE VONATKOZÓ TŐKEPUFFER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ab/>
            </w:r>
          </w:p>
          <w:p w14:paraId="530093DF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  <w:b w:val="0"/>
              </w:rPr>
            </w:pPr>
            <w:r>
              <w:t xml:space="preserve">A 2013/36/EU irányelv 128. cikkének 3. pontja és 131. cikke.</w:t>
            </w:r>
          </w:p>
          <w:p w14:paraId="5835A3FB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Ebben a cellában a globálisan rendszerszinten jelentős intézményekre vonatkozó tőkepuffer összegét kell megadni.</w:t>
            </w:r>
          </w:p>
        </w:tc>
      </w:tr>
      <w:tr w:rsidR="00173F08" w:rsidRPr="002A677E" w14:paraId="57BA6A14" w14:textId="77777777" w:rsidTr="00822842">
        <w:tc>
          <w:tcPr>
            <w:tcW w:w="1188" w:type="dxa"/>
          </w:tcPr>
          <w:p w14:paraId="769CFE84" w14:textId="77777777" w:rsidR="00173F08" w:rsidRPr="002A677E" w:rsidRDefault="00173F08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0480</w:t>
            </w:r>
          </w:p>
        </w:tc>
        <w:tc>
          <w:tcPr>
            <w:tcW w:w="8640" w:type="dxa"/>
          </w:tcPr>
          <w:p w14:paraId="7FDD0190" w14:textId="77777777" w:rsidR="00173F08" w:rsidRPr="002A677E" w:rsidRDefault="00173F08" w:rsidP="00822842">
            <w:pPr>
              <w:tabs>
                <w:tab w:val="left" w:pos="6315"/>
              </w:tabs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EGYÉB RENDSZERSZINTEN JELENTŐS INTÉZMÉNYEKRE VONATKOZÓ TŐKEPUFFER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ab/>
            </w:r>
          </w:p>
          <w:p w14:paraId="5C91FC01" w14:textId="77777777" w:rsidR="00173F08" w:rsidRPr="002A677E" w:rsidRDefault="00173F08" w:rsidP="00822842">
            <w:pPr>
              <w:pStyle w:val="InstructionsText"/>
            </w:pPr>
            <w:r>
              <w:t xml:space="preserve">A 2013/36/EU irányelv 128. cikkének 4. pontja és 131. cikke.</w:t>
            </w:r>
          </w:p>
          <w:p w14:paraId="677D9498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Ebben a cellában az egyéb rendszerszinten jelentős intézményekre vonatkozó tőkepuffer összegét kell megadni.</w:t>
            </w:r>
          </w:p>
        </w:tc>
      </w:tr>
    </w:tbl>
    <w:p w14:paraId="25845975" w14:textId="77777777" w:rsidR="00173F08" w:rsidRPr="002A677E" w:rsidRDefault="00173F08" w:rsidP="00173F08">
      <w:pPr>
        <w:pStyle w:val="InstructionsText"/>
      </w:pPr>
    </w:p>
    <w:p w14:paraId="1EA0AB00" w14:textId="77777777" w:rsidR="00BF2D9E" w:rsidRDefault="00BF2D9E"/>
    <w:p w14:paraId="12D86B4B" w14:textId="77777777" w:rsidR="00BF2D9E" w:rsidRDefault="00BF2D9E"/>
    <w:sectPr w:rsidR="00BF2D9E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7DA1E" w14:textId="77777777" w:rsidR="009871DF" w:rsidRDefault="009871DF" w:rsidP="00E26A90">
      <w:pPr>
        <w:spacing w:after="0"/>
      </w:pPr>
      <w:r>
        <w:separator/>
      </w:r>
    </w:p>
  </w:endnote>
  <w:endnote w:type="continuationSeparator" w:id="0">
    <w:p w14:paraId="6BF50B3E" w14:textId="77777777" w:rsidR="009871DF" w:rsidRDefault="009871DF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EE35E" w14:textId="77777777" w:rsidR="009871DF" w:rsidRDefault="009871DF" w:rsidP="00E26A90">
      <w:pPr>
        <w:spacing w:after="0"/>
      </w:pPr>
      <w:r>
        <w:separator/>
      </w:r>
    </w:p>
  </w:footnote>
  <w:footnote w:type="continuationSeparator" w:id="0">
    <w:p w14:paraId="42005157" w14:textId="77777777" w:rsidR="009871DF" w:rsidRDefault="009871DF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2"/>
  </w:num>
  <w:num w:numId="2" w16cid:durableId="1923681300">
    <w:abstractNumId w:val="0"/>
  </w:num>
  <w:num w:numId="3" w16cid:durableId="210615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4FA0"/>
    <w:rsid w:val="00102F11"/>
    <w:rsid w:val="0011055A"/>
    <w:rsid w:val="00173F08"/>
    <w:rsid w:val="00601EA3"/>
    <w:rsid w:val="00631623"/>
    <w:rsid w:val="00694862"/>
    <w:rsid w:val="00702B2E"/>
    <w:rsid w:val="00780E9B"/>
    <w:rsid w:val="009871DF"/>
    <w:rsid w:val="00A6002C"/>
    <w:rsid w:val="00A70706"/>
    <w:rsid w:val="00B44A0E"/>
    <w:rsid w:val="00B71F25"/>
    <w:rsid w:val="00BF2D9E"/>
    <w:rsid w:val="00C61CB8"/>
    <w:rsid w:val="00E26A90"/>
    <w:rsid w:val="00EF07A1"/>
    <w:rsid w:val="00FA1E0E"/>
    <w:rsid w:val="00FC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08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173F08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F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173F08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paragraph" w:customStyle="1" w:styleId="Instructionsberschrift2">
    <w:name w:val="Instructions Überschrift 2"/>
    <w:basedOn w:val="Heading2"/>
    <w:rsid w:val="00173F08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hu-HU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173F08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173F08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173F08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173F08"/>
    <w:rPr>
      <w:rFonts w:ascii="Verdana" w:hAnsi="Verdana" w:cs="Times New Roman"/>
      <w:bCs/>
      <w:sz w:val="20"/>
      <w:u w:val="none"/>
    </w:rPr>
  </w:style>
  <w:style w:type="paragraph" w:customStyle="1" w:styleId="Texte2">
    <w:name w:val="Texte 2"/>
    <w:basedOn w:val="Normal"/>
    <w:uiPriority w:val="99"/>
    <w:rsid w:val="00173F08"/>
    <w:pPr>
      <w:spacing w:after="0"/>
      <w:ind w:left="567"/>
    </w:pPr>
    <w:rPr>
      <w:sz w:val="22"/>
      <w:szCs w:val="20"/>
      <w:lang w:eastAsia="fr-FR"/>
    </w:rPr>
  </w:style>
  <w:style w:type="character" w:customStyle="1" w:styleId="InstructionsTextChar">
    <w:name w:val="Instructions Text Char"/>
    <w:link w:val="InstructionsText"/>
    <w:locked/>
    <w:rsid w:val="00173F08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173F08"/>
    <w:pPr>
      <w:ind w:left="708"/>
    </w:pPr>
  </w:style>
  <w:style w:type="paragraph" w:customStyle="1" w:styleId="InstructionsText2">
    <w:name w:val="Instructions Text 2"/>
    <w:basedOn w:val="InstructionsText"/>
    <w:qFormat/>
    <w:rsid w:val="00173F08"/>
    <w:pPr>
      <w:numPr>
        <w:numId w:val="2"/>
      </w:numPr>
      <w:tabs>
        <w:tab w:val="num" w:pos="360"/>
      </w:tabs>
      <w:spacing w:after="240"/>
      <w:ind w:left="360" w:firstLine="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73F08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F0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780E9B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EBBC5-7491-4C63-885C-CDD958825283}"/>
</file>

<file path=customXml/itemProps2.xml><?xml version="1.0" encoding="utf-8"?>
<ds:datastoreItem xmlns:ds="http://schemas.openxmlformats.org/officeDocument/2006/customXml" ds:itemID="{AB6EFA3B-6E90-4486-AA94-6C39F1B2B49F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3D1A1E76-5781-4102-A68F-1ECF8D7CB28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3970</Words>
  <Characters>22635</Characters>
  <Application>Microsoft Office Word</Application>
  <DocSecurity>0</DocSecurity>
  <Lines>188</Lines>
  <Paragraphs>53</Paragraphs>
  <ScaleCrop>false</ScaleCrop>
  <Company/>
  <LinksUpToDate>false</LinksUpToDate>
  <CharactersWithSpaces>26552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2024-06-19T18:06:00Z</dcterms:created>
  <dcterms:modified xsi:type="dcterms:W3CDTF">2024-07-05T07:53:00Z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ediaServiceImageTags">
    <vt:lpwstr/>
  </property>
</Properties>
</file>